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pPr w:leftFromText="180" w:rightFromText="180" w:horzAnchor="margin" w:tblpY="-7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C6AF8" w:rsidRPr="00746AA0" w14:paraId="3F0FF5EA" w14:textId="77777777" w:rsidTr="00E2074E">
        <w:tc>
          <w:tcPr>
            <w:tcW w:w="4672" w:type="dxa"/>
          </w:tcPr>
          <w:p w14:paraId="6BD0F8DF" w14:textId="77777777" w:rsidR="00DC6AF8" w:rsidRPr="00746AA0" w:rsidRDefault="00DC6AF8" w:rsidP="00E2074E">
            <w:pPr>
              <w:rPr>
                <w:rFonts w:cstheme="minorHAnsi"/>
                <w:b/>
              </w:rPr>
            </w:pPr>
            <w:r w:rsidRPr="00746AA0">
              <w:rPr>
                <w:rFonts w:cstheme="minorHAnsi"/>
                <w:noProof/>
              </w:rPr>
              <w:drawing>
                <wp:inline distT="0" distB="0" distL="0" distR="0" wp14:anchorId="6259FAB8" wp14:editId="30F44BCC">
                  <wp:extent cx="1181100" cy="1181100"/>
                  <wp:effectExtent l="0" t="0" r="0" b="0"/>
                  <wp:docPr id="39" name="Рисунок 39"/>
                  <wp:cNvGraphicFramePr/>
                  <a:graphic xmlns:a="http://schemas.openxmlformats.org/drawingml/2006/main">
                    <a:graphicData uri="http://schemas.openxmlformats.org/drawingml/2006/picture">
                      <pic:pic xmlns:pic="http://schemas.openxmlformats.org/drawingml/2006/picture">
                        <pic:nvPicPr>
                          <pic:cNvPr id="31" name="Рисунок 3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p>
        </w:tc>
        <w:tc>
          <w:tcPr>
            <w:tcW w:w="4673" w:type="dxa"/>
          </w:tcPr>
          <w:p w14:paraId="4AE876DA" w14:textId="77777777" w:rsidR="00DC6AF8" w:rsidRPr="00746AA0" w:rsidRDefault="00DC6AF8" w:rsidP="00E2074E">
            <w:pPr>
              <w:ind w:right="91"/>
              <w:jc w:val="right"/>
              <w:rPr>
                <w:rFonts w:eastAsia="Times New Roman" w:cstheme="minorHAnsi"/>
                <w:b/>
              </w:rPr>
            </w:pPr>
            <w:r w:rsidRPr="00746AA0">
              <w:rPr>
                <w:rFonts w:eastAsia="Times New Roman" w:cstheme="minorHAnsi"/>
                <w:b/>
              </w:rPr>
              <w:t>ООО «</w:t>
            </w:r>
            <w:proofErr w:type="spellStart"/>
            <w:r w:rsidRPr="00746AA0">
              <w:rPr>
                <w:rFonts w:eastAsia="Times New Roman" w:cstheme="minorHAnsi"/>
                <w:b/>
              </w:rPr>
              <w:t>Прайском</w:t>
            </w:r>
            <w:proofErr w:type="spellEnd"/>
            <w:r w:rsidRPr="00746AA0">
              <w:rPr>
                <w:rFonts w:eastAsia="Times New Roman" w:cstheme="minorHAnsi"/>
                <w:b/>
              </w:rPr>
              <w:t>»</w:t>
            </w:r>
          </w:p>
          <w:p w14:paraId="53245C24" w14:textId="77777777" w:rsidR="00DC6AF8" w:rsidRPr="00746AA0" w:rsidRDefault="00DC6AF8" w:rsidP="00E2074E">
            <w:pPr>
              <w:ind w:right="91"/>
              <w:jc w:val="right"/>
              <w:rPr>
                <w:rFonts w:eastAsia="Times New Roman" w:cstheme="minorHAnsi"/>
              </w:rPr>
            </w:pPr>
            <w:r w:rsidRPr="00746AA0">
              <w:rPr>
                <w:rFonts w:eastAsia="Times New Roman" w:cstheme="minorHAnsi"/>
              </w:rPr>
              <w:t>ИНН 5906174968</w:t>
            </w:r>
          </w:p>
          <w:p w14:paraId="34EFADD7" w14:textId="77777777" w:rsidR="00DC6AF8" w:rsidRPr="00746AA0" w:rsidRDefault="00DC6AF8" w:rsidP="00E2074E">
            <w:pPr>
              <w:ind w:right="91"/>
              <w:jc w:val="right"/>
              <w:rPr>
                <w:rFonts w:eastAsia="Times New Roman" w:cstheme="minorHAnsi"/>
              </w:rPr>
            </w:pPr>
            <w:r w:rsidRPr="00746AA0">
              <w:rPr>
                <w:rFonts w:eastAsia="Times New Roman" w:cstheme="minorHAnsi"/>
              </w:rPr>
              <w:t>КПП 590601001</w:t>
            </w:r>
          </w:p>
          <w:p w14:paraId="69ECE5FF" w14:textId="77777777" w:rsidR="00DC6AF8" w:rsidRPr="00746AA0" w:rsidRDefault="00DC6AF8" w:rsidP="00E2074E">
            <w:pPr>
              <w:ind w:right="91"/>
              <w:jc w:val="right"/>
              <w:rPr>
                <w:rFonts w:eastAsia="Times New Roman" w:cstheme="minorHAnsi"/>
              </w:rPr>
            </w:pPr>
            <w:r w:rsidRPr="00746AA0">
              <w:rPr>
                <w:rFonts w:eastAsia="Times New Roman" w:cstheme="minorHAnsi"/>
              </w:rPr>
              <w:t>Адрес: Россия, Пермский край, г. Пермь, ул. Максима Горького, д. 34, офис.404.</w:t>
            </w:r>
          </w:p>
          <w:p w14:paraId="4040601F" w14:textId="77777777" w:rsidR="00DC6AF8" w:rsidRPr="00746AA0" w:rsidRDefault="00DC6AF8" w:rsidP="00E2074E">
            <w:pPr>
              <w:ind w:right="91"/>
              <w:jc w:val="right"/>
              <w:rPr>
                <w:rFonts w:eastAsia="Times New Roman" w:cstheme="minorHAnsi"/>
              </w:rPr>
            </w:pPr>
            <w:r w:rsidRPr="00746AA0">
              <w:rPr>
                <w:rFonts w:eastAsia="Times New Roman" w:cstheme="minorHAnsi"/>
              </w:rPr>
              <w:t>Тел. +7 (992) 221‒91‒28</w:t>
            </w:r>
          </w:p>
          <w:p w14:paraId="00B4621A" w14:textId="77777777" w:rsidR="00DC6AF8" w:rsidRPr="00746AA0" w:rsidRDefault="00DC6AF8" w:rsidP="00E2074E">
            <w:pPr>
              <w:ind w:right="91"/>
              <w:jc w:val="right"/>
              <w:rPr>
                <w:rFonts w:eastAsia="Times New Roman" w:cstheme="minorHAnsi"/>
              </w:rPr>
            </w:pPr>
            <w:proofErr w:type="spellStart"/>
            <w:r w:rsidRPr="00746AA0">
              <w:rPr>
                <w:rFonts w:eastAsia="Times New Roman" w:cstheme="minorHAnsi"/>
              </w:rPr>
              <w:t>Email</w:t>
            </w:r>
            <w:proofErr w:type="spellEnd"/>
            <w:r w:rsidRPr="00746AA0">
              <w:rPr>
                <w:rFonts w:eastAsia="Times New Roman" w:cstheme="minorHAnsi"/>
              </w:rPr>
              <w:t xml:space="preserve">: infopricecom@yandex.ru </w:t>
            </w:r>
          </w:p>
          <w:p w14:paraId="232434F2" w14:textId="77777777" w:rsidR="00DC6AF8" w:rsidRPr="00746AA0" w:rsidRDefault="00DC6AF8" w:rsidP="00E2074E">
            <w:pPr>
              <w:jc w:val="center"/>
              <w:rPr>
                <w:rFonts w:cstheme="minorHAnsi"/>
                <w:b/>
              </w:rPr>
            </w:pPr>
          </w:p>
        </w:tc>
      </w:tr>
    </w:tbl>
    <w:p w14:paraId="57FEDB5A" w14:textId="77777777" w:rsidR="00746AA0" w:rsidRPr="00746AA0" w:rsidRDefault="00746AA0" w:rsidP="00746AA0">
      <w:pPr>
        <w:pStyle w:val="3"/>
        <w:shd w:val="clear" w:color="auto" w:fill="FFFFFF"/>
        <w:jc w:val="center"/>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ПРИКАЗ</w:t>
      </w:r>
      <w:r w:rsidRPr="00746AA0">
        <w:rPr>
          <w:rFonts w:asciiTheme="minorHAnsi" w:hAnsiTheme="minorHAnsi" w:cstheme="minorHAnsi"/>
          <w:color w:val="000000"/>
          <w:sz w:val="22"/>
          <w:szCs w:val="22"/>
          <w:lang w:val="ru-RU"/>
        </w:rPr>
        <w:br/>
        <w:t>от 25 сентября 2014 г. № 611</w:t>
      </w:r>
      <w:r w:rsidRPr="00746AA0">
        <w:rPr>
          <w:rFonts w:asciiTheme="minorHAnsi" w:hAnsiTheme="minorHAnsi" w:cstheme="minorHAnsi"/>
          <w:color w:val="000000"/>
          <w:sz w:val="22"/>
          <w:szCs w:val="22"/>
          <w:lang w:val="ru-RU"/>
        </w:rPr>
        <w:br/>
        <w:t>Об утверждении Федерального стандарта оценки «Оценка недвижимости (ФСО № 7)»</w:t>
      </w:r>
    </w:p>
    <w:p w14:paraId="6731E96E"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В соответствии со статьей 20 Федерального закона от 29 июля 1998 г.</w:t>
      </w:r>
      <w:r w:rsidRPr="00746AA0">
        <w:rPr>
          <w:rFonts w:asciiTheme="minorHAnsi" w:hAnsiTheme="minorHAnsi" w:cstheme="minorHAnsi"/>
          <w:color w:val="000000"/>
          <w:sz w:val="22"/>
          <w:szCs w:val="22"/>
        </w:rPr>
        <w:t> </w:t>
      </w:r>
      <w:hyperlink r:id="rId8" w:history="1">
        <w:r w:rsidRPr="00746AA0">
          <w:rPr>
            <w:rStyle w:val="a9"/>
            <w:rFonts w:asciiTheme="minorHAnsi" w:hAnsiTheme="minorHAnsi" w:cstheme="minorHAnsi"/>
            <w:sz w:val="22"/>
            <w:szCs w:val="22"/>
            <w:lang w:val="ru-RU"/>
          </w:rPr>
          <w:t>№ 135-ФЗ «Об оценочной деятельности в Российской Федерации»</w:t>
        </w:r>
      </w:hyperlink>
      <w:r w:rsidRPr="00746AA0">
        <w:rPr>
          <w:rFonts w:asciiTheme="minorHAnsi" w:hAnsiTheme="minorHAnsi" w:cstheme="minorHAnsi"/>
          <w:color w:val="000000"/>
          <w:sz w:val="22"/>
          <w:szCs w:val="22"/>
        </w:rPr>
        <w:t> </w:t>
      </w:r>
      <w:r w:rsidRPr="00746AA0">
        <w:rPr>
          <w:rFonts w:asciiTheme="minorHAnsi" w:hAnsiTheme="minorHAnsi" w:cstheme="minorHAnsi"/>
          <w:color w:val="000000"/>
          <w:sz w:val="22"/>
          <w:szCs w:val="22"/>
          <w:lang w:val="ru-RU"/>
        </w:rPr>
        <w:t>(Собрание законодательства Российской Федераций, 1998, № 31, ст. 3813; 2006, № 31, ст. 3456; 2010, № 30, ст. 3998; 20.11, № 1, ст. 43; № 29, ст. 4291; 2014, № 30, ст. 4226) приказываю:</w:t>
      </w:r>
      <w:bookmarkStart w:id="0" w:name="_GoBack"/>
      <w:bookmarkEnd w:id="0"/>
    </w:p>
    <w:p w14:paraId="00D503B8"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Утвердить прилагаемый Федеральный стандарт оценки «Оценка недвижимости (ФСО № 7)».</w:t>
      </w:r>
    </w:p>
    <w:p w14:paraId="06FC6CC2"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Министр</w:t>
      </w:r>
      <w:r w:rsidRPr="00746AA0">
        <w:rPr>
          <w:rFonts w:asciiTheme="minorHAnsi" w:hAnsiTheme="minorHAnsi" w:cstheme="minorHAnsi"/>
          <w:color w:val="000000"/>
          <w:sz w:val="22"/>
          <w:szCs w:val="22"/>
          <w:lang w:val="ru-RU"/>
        </w:rPr>
        <w:br/>
        <w:t>А.В. Улюкаев</w:t>
      </w:r>
    </w:p>
    <w:p w14:paraId="1CE509D3" w14:textId="77777777" w:rsidR="00746AA0" w:rsidRPr="00746AA0" w:rsidRDefault="00746AA0" w:rsidP="00746AA0">
      <w:pPr>
        <w:pStyle w:val="aa"/>
        <w:shd w:val="clear" w:color="auto" w:fill="FFFFFF"/>
        <w:spacing w:line="280" w:lineRule="atLeast"/>
        <w:jc w:val="right"/>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УТВЕРЖДЕН приказом Минэкономразвития России</w:t>
      </w:r>
      <w:r w:rsidRPr="00746AA0">
        <w:rPr>
          <w:rFonts w:asciiTheme="minorHAnsi" w:hAnsiTheme="minorHAnsi" w:cstheme="minorHAnsi"/>
          <w:color w:val="000000"/>
          <w:sz w:val="22"/>
          <w:szCs w:val="22"/>
          <w:lang w:val="ru-RU"/>
        </w:rPr>
        <w:br/>
        <w:t xml:space="preserve">от 25/09/2014 </w:t>
      </w:r>
      <w:r w:rsidRPr="00746AA0">
        <w:rPr>
          <w:rFonts w:asciiTheme="minorHAnsi" w:hAnsiTheme="minorHAnsi" w:cstheme="minorHAnsi"/>
          <w:color w:val="000000"/>
          <w:sz w:val="22"/>
          <w:szCs w:val="22"/>
        </w:rPr>
        <w:t>N</w:t>
      </w:r>
      <w:r w:rsidRPr="00746AA0">
        <w:rPr>
          <w:rFonts w:asciiTheme="minorHAnsi" w:hAnsiTheme="minorHAnsi" w:cstheme="minorHAnsi"/>
          <w:color w:val="000000"/>
          <w:sz w:val="22"/>
          <w:szCs w:val="22"/>
          <w:lang w:val="ru-RU"/>
        </w:rPr>
        <w:t xml:space="preserve"> 611</w:t>
      </w:r>
    </w:p>
    <w:p w14:paraId="19B69D3D" w14:textId="77777777" w:rsidR="00746AA0" w:rsidRPr="00746AA0" w:rsidRDefault="00746AA0" w:rsidP="00746AA0">
      <w:pPr>
        <w:pStyle w:val="3"/>
        <w:shd w:val="clear" w:color="auto" w:fill="FFFFFF"/>
        <w:jc w:val="center"/>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Федеральный стандарт оценки «Оценка недвижимости (ФСО № 7)»</w:t>
      </w:r>
    </w:p>
    <w:p w14:paraId="0DBAE420" w14:textId="77777777" w:rsidR="00746AA0" w:rsidRPr="00746AA0" w:rsidRDefault="00746AA0" w:rsidP="00746AA0">
      <w:pPr>
        <w:pStyle w:val="aa"/>
        <w:shd w:val="clear" w:color="auto" w:fill="FFFFFF"/>
        <w:spacing w:line="280" w:lineRule="atLeast"/>
        <w:jc w:val="center"/>
        <w:rPr>
          <w:rFonts w:asciiTheme="minorHAnsi" w:hAnsiTheme="minorHAnsi" w:cstheme="minorHAnsi"/>
          <w:color w:val="000000"/>
          <w:sz w:val="22"/>
          <w:szCs w:val="22"/>
          <w:lang w:val="ru-RU"/>
        </w:rPr>
      </w:pPr>
      <w:r w:rsidRPr="00746AA0">
        <w:rPr>
          <w:rStyle w:val="ab"/>
          <w:rFonts w:asciiTheme="minorHAnsi" w:hAnsiTheme="minorHAnsi" w:cstheme="minorHAnsi"/>
          <w:color w:val="000000"/>
          <w:sz w:val="22"/>
          <w:szCs w:val="22"/>
        </w:rPr>
        <w:t>I</w:t>
      </w:r>
      <w:r w:rsidRPr="00746AA0">
        <w:rPr>
          <w:rStyle w:val="ab"/>
          <w:rFonts w:asciiTheme="minorHAnsi" w:hAnsiTheme="minorHAnsi" w:cstheme="minorHAnsi"/>
          <w:color w:val="000000"/>
          <w:sz w:val="22"/>
          <w:szCs w:val="22"/>
          <w:lang w:val="ru-RU"/>
        </w:rPr>
        <w:t>. Общие положения</w:t>
      </w:r>
    </w:p>
    <w:p w14:paraId="55CE48DF"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1. Настоящий Федеральный стандарт оценки разработан с учетом международных стандартов оценки и федеральных стандартов оценки «Общие понятия оценки, подходы к оценке и требования к проведению оценки (ФСО № 1)», «Цель оценки и виды стоимости (ФСО № 2)», «Требования к отчету об оценке (ФСО № 3)» (далее соответственно - ФСО № 1, ФСО № 2, ФСО № 3) и определяет требования к проведению оценки недвижимости.</w:t>
      </w:r>
    </w:p>
    <w:p w14:paraId="65CE7FC5"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2. Настоящий Федеральный стандарт оценки развивает, дополняет и конкретизирует требования и процедуры, установленные ФСО № 1, ФСО №2, ФСО №3, и является обязательным к применению при оценке недвижимости.</w:t>
      </w:r>
    </w:p>
    <w:p w14:paraId="3E08882D"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3.Положения настоящего Федерального стандарта оценки не распространяются на оценку подлежащих государственной регистрации воздушных и морских судов, судов внутреннего плавания, космических объектов, участков недр, предприятий как имущественных комплексов, а также на определение кадастровой стоимости объектов недвижимости методами</w:t>
      </w:r>
      <w:r w:rsidRPr="00746AA0">
        <w:rPr>
          <w:rFonts w:asciiTheme="minorHAnsi" w:hAnsiTheme="minorHAnsi" w:cstheme="minorHAnsi"/>
          <w:color w:val="000000"/>
          <w:sz w:val="22"/>
          <w:szCs w:val="22"/>
          <w:lang w:val="ru-RU"/>
        </w:rPr>
        <w:br/>
        <w:t>массовой оценки.</w:t>
      </w:r>
    </w:p>
    <w:p w14:paraId="685CF77E" w14:textId="77777777" w:rsidR="00746AA0" w:rsidRPr="00746AA0" w:rsidRDefault="00746AA0" w:rsidP="00746AA0">
      <w:pPr>
        <w:pStyle w:val="aa"/>
        <w:shd w:val="clear" w:color="auto" w:fill="FFFFFF"/>
        <w:spacing w:line="280" w:lineRule="atLeast"/>
        <w:jc w:val="center"/>
        <w:rPr>
          <w:rFonts w:asciiTheme="minorHAnsi" w:hAnsiTheme="minorHAnsi" w:cstheme="minorHAnsi"/>
          <w:color w:val="000000"/>
          <w:sz w:val="22"/>
          <w:szCs w:val="22"/>
          <w:lang w:val="ru-RU"/>
        </w:rPr>
      </w:pPr>
      <w:r w:rsidRPr="00746AA0">
        <w:rPr>
          <w:rStyle w:val="ab"/>
          <w:rFonts w:asciiTheme="minorHAnsi" w:hAnsiTheme="minorHAnsi" w:cstheme="minorHAnsi"/>
          <w:color w:val="000000"/>
          <w:sz w:val="22"/>
          <w:szCs w:val="22"/>
        </w:rPr>
        <w:t>II</w:t>
      </w:r>
      <w:r w:rsidRPr="00746AA0">
        <w:rPr>
          <w:rStyle w:val="ab"/>
          <w:rFonts w:asciiTheme="minorHAnsi" w:hAnsiTheme="minorHAnsi" w:cstheme="minorHAnsi"/>
          <w:color w:val="000000"/>
          <w:sz w:val="22"/>
          <w:szCs w:val="22"/>
          <w:lang w:val="ru-RU"/>
        </w:rPr>
        <w:t>. Объекты оценки</w:t>
      </w:r>
    </w:p>
    <w:p w14:paraId="518F921C"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4. Для целей настоящего Федерального стандарта объектами оценки могут выступать объекты недвижимости - застроенные земельные участки, незастроенные земельные участки, объекты капитального строительства, а также части земельных участков и объектов капитального строительства, жилые и нежилые помещения, вместе или по отдельности, с учетом связанных с ними имущественных прав, если это не противоречит действующему законодательству. Для целей настоящего Федерального стандарта объектами оценки могут выступать доли в праве на объект недвижимости.</w:t>
      </w:r>
    </w:p>
    <w:p w14:paraId="0BE5273F" w14:textId="77777777" w:rsidR="00746AA0" w:rsidRPr="00746AA0" w:rsidRDefault="00746AA0" w:rsidP="00746AA0">
      <w:pPr>
        <w:pStyle w:val="aa"/>
        <w:shd w:val="clear" w:color="auto" w:fill="FFFFFF"/>
        <w:spacing w:line="280" w:lineRule="atLeast"/>
        <w:jc w:val="center"/>
        <w:rPr>
          <w:rFonts w:asciiTheme="minorHAnsi" w:hAnsiTheme="minorHAnsi" w:cstheme="minorHAnsi"/>
          <w:color w:val="000000"/>
          <w:sz w:val="22"/>
          <w:szCs w:val="22"/>
          <w:lang w:val="ru-RU"/>
        </w:rPr>
      </w:pPr>
      <w:r w:rsidRPr="00746AA0">
        <w:rPr>
          <w:rStyle w:val="ab"/>
          <w:rFonts w:asciiTheme="minorHAnsi" w:hAnsiTheme="minorHAnsi" w:cstheme="minorHAnsi"/>
          <w:color w:val="000000"/>
          <w:sz w:val="22"/>
          <w:szCs w:val="22"/>
        </w:rPr>
        <w:lastRenderedPageBreak/>
        <w:t>III</w:t>
      </w:r>
      <w:r w:rsidRPr="00746AA0">
        <w:rPr>
          <w:rStyle w:val="ab"/>
          <w:rFonts w:asciiTheme="minorHAnsi" w:hAnsiTheme="minorHAnsi" w:cstheme="minorHAnsi"/>
          <w:color w:val="000000"/>
          <w:sz w:val="22"/>
          <w:szCs w:val="22"/>
          <w:lang w:val="ru-RU"/>
        </w:rPr>
        <w:t>. Общие требования к проведению оценки</w:t>
      </w:r>
    </w:p>
    <w:p w14:paraId="711F6504"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5. При сборе информации об оцениваемом объекте недвижимости оценщик или его представитель проводит осмотр объекта оценки в период, возможно близкий к дате оценки, если в задании на оценку не указано иное. В случае непроведения осмотра оценщик указывает в отчете об оценке причины, по которым объект оценки не осмотрен, а также допущения и ограничения, связанные с непроведением осмотра.</w:t>
      </w:r>
    </w:p>
    <w:p w14:paraId="5C732F15"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 xml:space="preserve">6. Совместная оценка земельного участка и находящихся на нем объектов капитального строительства при отсутствии правоустанавливающих и </w:t>
      </w:r>
      <w:proofErr w:type="spellStart"/>
      <w:r w:rsidRPr="00746AA0">
        <w:rPr>
          <w:rFonts w:asciiTheme="minorHAnsi" w:hAnsiTheme="minorHAnsi" w:cstheme="minorHAnsi"/>
          <w:color w:val="000000"/>
          <w:sz w:val="22"/>
          <w:szCs w:val="22"/>
          <w:lang w:val="ru-RU"/>
        </w:rPr>
        <w:t>правоподтверждающих</w:t>
      </w:r>
      <w:proofErr w:type="spellEnd"/>
      <w:r w:rsidRPr="00746AA0">
        <w:rPr>
          <w:rFonts w:asciiTheme="minorHAnsi" w:hAnsiTheme="minorHAnsi" w:cstheme="minorHAnsi"/>
          <w:color w:val="000000"/>
          <w:sz w:val="22"/>
          <w:szCs w:val="22"/>
          <w:lang w:val="ru-RU"/>
        </w:rPr>
        <w:t xml:space="preserve"> документов на земельный участок проводится с учетом установленных действующим законодательством прав и обязанностей собственника объектов капитального строительства в отношении земельного участка, а</w:t>
      </w:r>
      <w:r w:rsidRPr="00746AA0">
        <w:rPr>
          <w:rFonts w:asciiTheme="minorHAnsi" w:hAnsiTheme="minorHAnsi" w:cstheme="minorHAnsi"/>
          <w:color w:val="000000"/>
          <w:sz w:val="22"/>
          <w:szCs w:val="22"/>
        </w:rPr>
        <w:t> </w:t>
      </w:r>
      <w:r w:rsidRPr="00746AA0">
        <w:rPr>
          <w:rFonts w:asciiTheme="minorHAnsi" w:hAnsiTheme="minorHAnsi" w:cstheme="minorHAnsi"/>
          <w:color w:val="000000"/>
          <w:sz w:val="22"/>
          <w:szCs w:val="22"/>
          <w:lang w:val="ru-RU"/>
        </w:rPr>
        <w:t>также типичного на рассматриваемом рынке поведения собственников в отношении аналогичного земельного участка (выкуп или аренда).</w:t>
      </w:r>
    </w:p>
    <w:p w14:paraId="49E2105F"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7. В отсутствие документально подтвержденных имущественных прав третьих лиц в отношении оцениваемого объекта недвижимости, ограничений (обременении), а также экологического загрязнения оценка объекта проводится исходя из предположения об отсутствии таких прав, ограничений (обременении) и загрязнений с учетом обстоятельств, выявленных в процессе осмотра, если в задании на оценку не указано иное.</w:t>
      </w:r>
    </w:p>
    <w:p w14:paraId="009ADAE4" w14:textId="77777777" w:rsidR="00746AA0" w:rsidRPr="00746AA0" w:rsidRDefault="00746AA0" w:rsidP="00746AA0">
      <w:pPr>
        <w:pStyle w:val="aa"/>
        <w:shd w:val="clear" w:color="auto" w:fill="FFFFFF"/>
        <w:spacing w:line="280" w:lineRule="atLeast"/>
        <w:jc w:val="center"/>
        <w:rPr>
          <w:rFonts w:asciiTheme="minorHAnsi" w:hAnsiTheme="minorHAnsi" w:cstheme="minorHAnsi"/>
          <w:color w:val="000000"/>
          <w:sz w:val="22"/>
          <w:szCs w:val="22"/>
          <w:lang w:val="ru-RU"/>
        </w:rPr>
      </w:pPr>
      <w:r w:rsidRPr="00746AA0">
        <w:rPr>
          <w:rStyle w:val="ab"/>
          <w:rFonts w:asciiTheme="minorHAnsi" w:hAnsiTheme="minorHAnsi" w:cstheme="minorHAnsi"/>
          <w:color w:val="000000"/>
          <w:sz w:val="22"/>
          <w:szCs w:val="22"/>
        </w:rPr>
        <w:t>IV</w:t>
      </w:r>
      <w:r w:rsidRPr="00746AA0">
        <w:rPr>
          <w:rStyle w:val="ab"/>
          <w:rFonts w:asciiTheme="minorHAnsi" w:hAnsiTheme="minorHAnsi" w:cstheme="minorHAnsi"/>
          <w:color w:val="000000"/>
          <w:sz w:val="22"/>
          <w:szCs w:val="22"/>
          <w:lang w:val="ru-RU"/>
        </w:rPr>
        <w:t>. Задание на оценку</w:t>
      </w:r>
    </w:p>
    <w:p w14:paraId="4FCC1027"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8.Задание на оценку объекта недвижимости должно содержать следующую дополнительную к указанной в пункте 17 ФСО № 1 информацию:</w:t>
      </w:r>
    </w:p>
    <w:p w14:paraId="62949244" w14:textId="77777777" w:rsidR="00746AA0" w:rsidRPr="00746AA0" w:rsidRDefault="00746AA0" w:rsidP="00746AA0">
      <w:pPr>
        <w:numPr>
          <w:ilvl w:val="0"/>
          <w:numId w:val="25"/>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состав объекта оценки с указанием сведений, достаточных для идентификации каждой из его частей (при наличии);</w:t>
      </w:r>
    </w:p>
    <w:p w14:paraId="78BC27CC" w14:textId="77777777" w:rsidR="00746AA0" w:rsidRPr="00746AA0" w:rsidRDefault="00746AA0" w:rsidP="00746AA0">
      <w:pPr>
        <w:numPr>
          <w:ilvl w:val="0"/>
          <w:numId w:val="25"/>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характеристики объекта оценки и его оцениваемых частей или ссылки на доступные для оценщика документы, содержащие такие характеристики;</w:t>
      </w:r>
    </w:p>
    <w:p w14:paraId="654FA8EE" w14:textId="77777777" w:rsidR="00746AA0" w:rsidRPr="00746AA0" w:rsidRDefault="00746AA0" w:rsidP="00746AA0">
      <w:pPr>
        <w:numPr>
          <w:ilvl w:val="0"/>
          <w:numId w:val="25"/>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права, учитываемые при оценке объекта оценки, ограничения (обременения) этих прав, в том числе в отношении каждой из частей объекта оценки.</w:t>
      </w:r>
    </w:p>
    <w:p w14:paraId="3C109AFD"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9. В задании на оценку могут быть указаны иные расчетные величины, в том числе:</w:t>
      </w:r>
    </w:p>
    <w:p w14:paraId="64169E4B" w14:textId="77777777" w:rsidR="00746AA0" w:rsidRPr="00746AA0" w:rsidRDefault="00746AA0" w:rsidP="00746AA0">
      <w:pPr>
        <w:numPr>
          <w:ilvl w:val="0"/>
          <w:numId w:val="26"/>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рыночная арендная плата (расчетная денежная сумма, за которую объект недвижимости может быть сдан в аренду на дату оценки при типичных рыночных условиях);</w:t>
      </w:r>
    </w:p>
    <w:p w14:paraId="52C3A0E6" w14:textId="77777777" w:rsidR="00746AA0" w:rsidRPr="00746AA0" w:rsidRDefault="00746AA0" w:rsidP="00746AA0">
      <w:pPr>
        <w:numPr>
          <w:ilvl w:val="0"/>
          <w:numId w:val="26"/>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затраты на создание (воспроизводство или замещение) объектов капитального строительства;</w:t>
      </w:r>
    </w:p>
    <w:p w14:paraId="360088D9" w14:textId="77777777" w:rsidR="00746AA0" w:rsidRPr="00746AA0" w:rsidRDefault="00746AA0" w:rsidP="00746AA0">
      <w:pPr>
        <w:numPr>
          <w:ilvl w:val="0"/>
          <w:numId w:val="26"/>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убытки (реальный ущерб, упущенная выгода) при отчуждении объекта недвижимости, а также в иных случаях;</w:t>
      </w:r>
    </w:p>
    <w:p w14:paraId="4D8EB8E2" w14:textId="77777777" w:rsidR="00746AA0" w:rsidRPr="00746AA0" w:rsidRDefault="00746AA0" w:rsidP="00746AA0">
      <w:pPr>
        <w:numPr>
          <w:ilvl w:val="0"/>
          <w:numId w:val="26"/>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затраты на устранение экологического загрязнения и (или) рекультивацию земельного участка.</w:t>
      </w:r>
    </w:p>
    <w:p w14:paraId="77579DF3" w14:textId="77777777" w:rsidR="00746AA0" w:rsidRPr="00746AA0" w:rsidRDefault="00746AA0" w:rsidP="00746AA0">
      <w:pPr>
        <w:pStyle w:val="aa"/>
        <w:shd w:val="clear" w:color="auto" w:fill="FFFFFF"/>
        <w:spacing w:line="280" w:lineRule="atLeast"/>
        <w:jc w:val="center"/>
        <w:rPr>
          <w:rFonts w:asciiTheme="minorHAnsi" w:hAnsiTheme="minorHAnsi" w:cstheme="minorHAnsi"/>
          <w:color w:val="000000"/>
          <w:sz w:val="22"/>
          <w:szCs w:val="22"/>
          <w:lang w:val="ru-RU"/>
        </w:rPr>
      </w:pPr>
      <w:r w:rsidRPr="00746AA0">
        <w:rPr>
          <w:rStyle w:val="ab"/>
          <w:rFonts w:asciiTheme="minorHAnsi" w:hAnsiTheme="minorHAnsi" w:cstheme="minorHAnsi"/>
          <w:color w:val="000000"/>
          <w:sz w:val="22"/>
          <w:szCs w:val="22"/>
        </w:rPr>
        <w:t>V</w:t>
      </w:r>
      <w:r w:rsidRPr="00746AA0">
        <w:rPr>
          <w:rStyle w:val="ab"/>
          <w:rFonts w:asciiTheme="minorHAnsi" w:hAnsiTheme="minorHAnsi" w:cstheme="minorHAnsi"/>
          <w:color w:val="000000"/>
          <w:sz w:val="22"/>
          <w:szCs w:val="22"/>
          <w:lang w:val="ru-RU"/>
        </w:rPr>
        <w:t>. Анализ рынка</w:t>
      </w:r>
    </w:p>
    <w:p w14:paraId="77536A09"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10. Для определения стоимости недвижимости оценщик исследует рынок в тех его сегментах, к которым относятся фактическое использование оцениваемого объекта и другие виды использования, необходимые для определения его стоимости.</w:t>
      </w:r>
    </w:p>
    <w:p w14:paraId="5617D7B9"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11. Анализ рынка недвижимости выполняется в следующей последовательности:</w:t>
      </w:r>
    </w:p>
    <w:p w14:paraId="6BBBC92B"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lastRenderedPageBreak/>
        <w:t>а) анализ влияния общей политической и социально-экономической обстановки в стране и регионе расположения объекта оценки на рынок оцениваемого объекта, в том числе тенденций, наметившихся на рынке, в период, предшествующий дате оценки;</w:t>
      </w:r>
    </w:p>
    <w:p w14:paraId="1E216538"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б) определение сегмента рынка, к которому принадлежит оцениваемый объект. Если рынок недвижимости неразвит и данных, позволяющих составить представление о ценах сделок и (или) предложений с сопоставимыми объектами недвижимости, недостаточно, допускается расширить территорию исследования за счет территорий, схожих по экономическим характеристикам с местоположением оцениваемого объекта;</w:t>
      </w:r>
    </w:p>
    <w:p w14:paraId="0234CCB8"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в) анализ фактических данных о ценах сделок и (или) предложений с объектами недвижимости из сегментов рынка, к которым может быть отнесен оцениваемый объект при фактическом, а также при альтернативных вариантах его использования, с указанием интервала значений цен;</w:t>
      </w:r>
    </w:p>
    <w:p w14:paraId="3E9E6B3D"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г) анализ основных факторов, влияющих на спрос, предложение и цены сопоставимых объектов недвижимости, например ставки доходности, периоды окупаемости инвестиций на рынке недвижимости, с приведением интервалов значений этих факторов;</w:t>
      </w:r>
    </w:p>
    <w:p w14:paraId="5E84C612"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д) основные выводы относительно рынка недвижимости в сегментах, необходимых для оценки объекта, например динамика рынка, спрос, предложение, объем продаж, емкость рынка, мотивации покупателей и продавцов, ликвидность, колебания цен на рынке оцениваемого объекта и другие выводы.</w:t>
      </w:r>
    </w:p>
    <w:p w14:paraId="26AF9940"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Объем исследований определяется оценщиком исходя из принципа достаточности.</w:t>
      </w:r>
    </w:p>
    <w:p w14:paraId="3996F7A1" w14:textId="77777777" w:rsidR="00746AA0" w:rsidRPr="00746AA0" w:rsidRDefault="00746AA0" w:rsidP="00746AA0">
      <w:pPr>
        <w:pStyle w:val="aa"/>
        <w:shd w:val="clear" w:color="auto" w:fill="FFFFFF"/>
        <w:spacing w:line="280" w:lineRule="atLeast"/>
        <w:jc w:val="center"/>
        <w:rPr>
          <w:rFonts w:asciiTheme="minorHAnsi" w:hAnsiTheme="minorHAnsi" w:cstheme="minorHAnsi"/>
          <w:color w:val="000000"/>
          <w:sz w:val="22"/>
          <w:szCs w:val="22"/>
          <w:lang w:val="ru-RU"/>
        </w:rPr>
      </w:pPr>
      <w:r w:rsidRPr="00746AA0">
        <w:rPr>
          <w:rStyle w:val="ab"/>
          <w:rFonts w:asciiTheme="minorHAnsi" w:hAnsiTheme="minorHAnsi" w:cstheme="minorHAnsi"/>
          <w:color w:val="000000"/>
          <w:sz w:val="22"/>
          <w:szCs w:val="22"/>
        </w:rPr>
        <w:t>VI</w:t>
      </w:r>
      <w:r w:rsidRPr="00746AA0">
        <w:rPr>
          <w:rStyle w:val="ab"/>
          <w:rFonts w:asciiTheme="minorHAnsi" w:hAnsiTheme="minorHAnsi" w:cstheme="minorHAnsi"/>
          <w:color w:val="000000"/>
          <w:sz w:val="22"/>
          <w:szCs w:val="22"/>
          <w:lang w:val="ru-RU"/>
        </w:rPr>
        <w:t>. Анализ наиболее эффективного использования</w:t>
      </w:r>
    </w:p>
    <w:p w14:paraId="6FA6AAFC"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12. Анализ наиболее эффективного использования лежит в основе оценок рыночной стоимости недвижимости.</w:t>
      </w:r>
    </w:p>
    <w:p w14:paraId="67FA7B08"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13. Наиболее эффективное использование представляет собой такое использование недвижимости, которое максимизирует ее продуктивность (соответствует ее наибольшей стоимости) и которое физически возможно, юридически разрешено (на дату определения стоимости объекта оценки) и финансово оправдано.</w:t>
      </w:r>
    </w:p>
    <w:p w14:paraId="0F4EDAEB"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14. Наиболее эффективное использование объекта недвижимости может соответствовать его фактическому использованию или предполагать иное использование, например ремонт (или реконструкцию) имеющихся на земельном участке объектов капитального строительства.</w:t>
      </w:r>
    </w:p>
    <w:p w14:paraId="5F312A42"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15. Анализ наиболее эффективного использования позволяет выявить наиболее прибыльное использование объекта недвижимости, на который ориентируются участники рынка (покупатели и продавцы) при формировании цены сделки. При определении рыночной стоимости оценщик руководствуется результатами этого анализа для выбора подходов и методов оценки объекта оценки и выбора сопоставимых объектов недвижимости при применении каждого подхода.</w:t>
      </w:r>
    </w:p>
    <w:p w14:paraId="7C2F0B5A"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16. Анализ наиболее эффективного использования объекта оценки проводится, как правило, по объемно-планировочным и конструктивным решениям. Для объектов оценки, включающих в себя земельный участок и объекты капитального строительства, наиболее эффективное использование определяется с учетом имеющихся объектов капитального строительства. При этом такой анализ выполняется путем проведения необходимых для этого вычислений либо без них, если представлены обоснования, не требующие расчетов.</w:t>
      </w:r>
    </w:p>
    <w:p w14:paraId="33D372AF"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lastRenderedPageBreak/>
        <w:t>17. Анализ наиболее эффективного использования частей объекта недвижимости, например встроенных жилых и нежилых помещений, проводится с учетом фактического использования других частей этого объекта.</w:t>
      </w:r>
    </w:p>
    <w:p w14:paraId="51E36822"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18. Анализ наиболее эффективного использования части реконструируемого или подлежащего реконструкции объекта недвижимости проводится с учетом наиболее эффективного использования всего реконструируемого объекта недвижимости.</w:t>
      </w:r>
    </w:p>
    <w:p w14:paraId="1C1EC1E9"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19. Наиболее эффективное использование объекта недвижимости, оцениваемого в отдельности, может отличаться от его наиболее эффективного использования в составе оцениваемого комплекса объектов недвижимости.</w:t>
      </w:r>
    </w:p>
    <w:p w14:paraId="6301CE26"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20. Рыночная стоимость земельного участка, застроенного объектами капитального строительства, или объектов капитального строительства для внесения этой стоимости в государственный кадастр недвижимости оценивается исходя из вида фактического использования оцениваемого объекта. При этом застроенный земельный участок оценивается как незастроенный, предназначенный для использования в соответствии с видом его фактического использования.</w:t>
      </w:r>
    </w:p>
    <w:p w14:paraId="574E8515"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21. Анализ наиболее эффективного использования объекта недвижимости для сдачи в аренду выполняется с учетом условий использования этого объекта, устанавливаемых договором аренды или проектом такого договора.</w:t>
      </w:r>
    </w:p>
    <w:p w14:paraId="7A546B70" w14:textId="77777777" w:rsidR="00746AA0" w:rsidRPr="00746AA0" w:rsidRDefault="00746AA0" w:rsidP="00746AA0">
      <w:pPr>
        <w:pStyle w:val="aa"/>
        <w:shd w:val="clear" w:color="auto" w:fill="FFFFFF"/>
        <w:spacing w:line="280" w:lineRule="atLeast"/>
        <w:jc w:val="center"/>
        <w:rPr>
          <w:rFonts w:asciiTheme="minorHAnsi" w:hAnsiTheme="minorHAnsi" w:cstheme="minorHAnsi"/>
          <w:color w:val="000000"/>
          <w:sz w:val="22"/>
          <w:szCs w:val="22"/>
          <w:lang w:val="ru-RU"/>
        </w:rPr>
      </w:pPr>
      <w:r w:rsidRPr="00746AA0">
        <w:rPr>
          <w:rStyle w:val="ab"/>
          <w:rFonts w:asciiTheme="minorHAnsi" w:hAnsiTheme="minorHAnsi" w:cstheme="minorHAnsi"/>
          <w:color w:val="000000"/>
          <w:sz w:val="22"/>
          <w:szCs w:val="22"/>
        </w:rPr>
        <w:t>VII</w:t>
      </w:r>
      <w:r w:rsidRPr="00746AA0">
        <w:rPr>
          <w:rStyle w:val="ab"/>
          <w:rFonts w:asciiTheme="minorHAnsi" w:hAnsiTheme="minorHAnsi" w:cstheme="minorHAnsi"/>
          <w:color w:val="000000"/>
          <w:sz w:val="22"/>
          <w:szCs w:val="22"/>
          <w:lang w:val="ru-RU"/>
        </w:rPr>
        <w:t>. Подходы к оценке</w:t>
      </w:r>
    </w:p>
    <w:p w14:paraId="13AAAEB6"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22. При применении сравнительного подхода к оценке недвижимости оценщик учитывает следующие положения:</w:t>
      </w:r>
    </w:p>
    <w:p w14:paraId="15FD3BE2"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а) сравнительный подход применяется для оценки недвижимости, когда можно подобрать достаточное для оценки количество объектов-аналогов с известными ценами сделок и (или) предложений;</w:t>
      </w:r>
    </w:p>
    <w:p w14:paraId="2EEF16AF"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б) в качестве объектов-аналогов используются объекты недвижимости, которые относятся к одному с оцениваемым объектом сегменту рынка и сопоставимы с ним по ценообразующим факторам. При этом для всех объектов недвижимости, включая оцениваемый, ценообразование по каждому из указанных факторов должно быть единообразным;</w:t>
      </w:r>
    </w:p>
    <w:p w14:paraId="2545F94A"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в) при проведении оценки должны быть описаны объем доступных оценщику рыночных данных об объектах-аналогах и правила их отбора для проведения расчетов. Использование в расчетах лишь части доступных оценщику объектов-аналогов должно быть обосновано в отчете об оценке;</w:t>
      </w:r>
    </w:p>
    <w:p w14:paraId="08794AD4"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г) для выполнения расчетов используются типичные для аналогичного объекта сложившиеся на рынке оцениваемого объекта удельные показатели стоимости (единицы сравнения), в частности цена или арендная плата за единицу площади или единицу объема;</w:t>
      </w:r>
    </w:p>
    <w:p w14:paraId="30384A4F"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д) в зависимости от имеющейся на рынке исходной информации в процессе оценки недвижимости могут использоваться качественные методы оценки (относительный сравнительный анализ, метод экспертных оценок и другие методы), количественные методы оценки (метод регрессионного анализа, метод количественных корректировок и другие методы), а также их сочетания.</w:t>
      </w:r>
    </w:p>
    <w:p w14:paraId="7A878160"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 xml:space="preserve">При применении качественных методов оценка недвижимости выполняется путем изучения взаимосвязей, выявляемых на основе анализа цен сделок и (или) предложений с объектами-аналогами или соответствующей информации, полученной от экспертов, и использования этих </w:t>
      </w:r>
      <w:r w:rsidRPr="00746AA0">
        <w:rPr>
          <w:rFonts w:asciiTheme="minorHAnsi" w:hAnsiTheme="minorHAnsi" w:cstheme="minorHAnsi"/>
          <w:color w:val="000000"/>
          <w:sz w:val="22"/>
          <w:szCs w:val="22"/>
          <w:lang w:val="ru-RU"/>
        </w:rPr>
        <w:lastRenderedPageBreak/>
        <w:t>взаимосвязей для проведения оценки в соответствии с технологией выбранного для оценки метода.</w:t>
      </w:r>
    </w:p>
    <w:p w14:paraId="3B7B476C"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 xml:space="preserve">При применении метода корректировок каждый объект-аналог сравнивается с объектом оценки по ценообразующим факторам (элементам сравнения), выявляются различия объектов </w:t>
      </w:r>
      <w:proofErr w:type="gramStart"/>
      <w:r w:rsidRPr="00746AA0">
        <w:rPr>
          <w:rFonts w:asciiTheme="minorHAnsi" w:hAnsiTheme="minorHAnsi" w:cstheme="minorHAnsi"/>
          <w:color w:val="000000"/>
          <w:sz w:val="22"/>
          <w:szCs w:val="22"/>
          <w:lang w:val="ru-RU"/>
        </w:rPr>
        <w:t>по этим факторам</w:t>
      </w:r>
      <w:proofErr w:type="gramEnd"/>
      <w:r w:rsidRPr="00746AA0">
        <w:rPr>
          <w:rFonts w:asciiTheme="minorHAnsi" w:hAnsiTheme="minorHAnsi" w:cstheme="minorHAnsi"/>
          <w:color w:val="000000"/>
          <w:sz w:val="22"/>
          <w:szCs w:val="22"/>
          <w:lang w:val="ru-RU"/>
        </w:rPr>
        <w:t xml:space="preserve"> и цена объекта-аналога или ее удельный показатель корректируется по выявленным различиям с целью дальнейшего определения стоимости объекта оценки. При этом корректировка по каждому элементу сравнения основывается на принципе вклада этого элемента в стоимость объекта.</w:t>
      </w:r>
    </w:p>
    <w:p w14:paraId="036FC458"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При применении методов регрессионного анализа оценщик, используя данные сегмента рынка оцениваемого объекта, конструирует модель ценообразования, соответствующую рынку этого объекта, по которой определяет расчетное значение искомой стоимости;</w:t>
      </w:r>
    </w:p>
    <w:p w14:paraId="71CC09BB"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е) для сравнения объекта оценки с другими объектами недвижимости, с которыми были совершены сделки или которые представлены на рынке для их совершения, обычно используются следующие элементы сравнения:</w:t>
      </w:r>
    </w:p>
    <w:p w14:paraId="3B9E39C1" w14:textId="77777777" w:rsidR="00746AA0" w:rsidRPr="00746AA0" w:rsidRDefault="00746AA0" w:rsidP="00746AA0">
      <w:pPr>
        <w:numPr>
          <w:ilvl w:val="0"/>
          <w:numId w:val="27"/>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передаваемые имущественные права, ограничения (обременения) этих прав;</w:t>
      </w:r>
    </w:p>
    <w:p w14:paraId="401A6D77" w14:textId="77777777" w:rsidR="00746AA0" w:rsidRPr="00746AA0" w:rsidRDefault="00746AA0" w:rsidP="00746AA0">
      <w:pPr>
        <w:numPr>
          <w:ilvl w:val="0"/>
          <w:numId w:val="27"/>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условия финансирования состоявшейся или предполагаемой сделки (вид оплаты, условия кредитования, иные условия);</w:t>
      </w:r>
    </w:p>
    <w:p w14:paraId="50E64B97" w14:textId="77777777" w:rsidR="00746AA0" w:rsidRPr="00746AA0" w:rsidRDefault="00746AA0" w:rsidP="00746AA0">
      <w:pPr>
        <w:numPr>
          <w:ilvl w:val="0"/>
          <w:numId w:val="27"/>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условия продажи (нетипичные для рынка условия, сделка между аффилированными лицами, иные условия);</w:t>
      </w:r>
    </w:p>
    <w:p w14:paraId="2DEEC622" w14:textId="77777777" w:rsidR="00746AA0" w:rsidRPr="00746AA0" w:rsidRDefault="00746AA0" w:rsidP="00746AA0">
      <w:pPr>
        <w:numPr>
          <w:ilvl w:val="0"/>
          <w:numId w:val="27"/>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условия рынка (изменения цен за период между датами сделки и оценки, скидки к ценам предложений, иные условия);</w:t>
      </w:r>
    </w:p>
    <w:p w14:paraId="3C33DDDE" w14:textId="77777777" w:rsidR="00746AA0" w:rsidRPr="00746AA0" w:rsidRDefault="00746AA0" w:rsidP="00746AA0">
      <w:pPr>
        <w:numPr>
          <w:ilvl w:val="0"/>
          <w:numId w:val="27"/>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вид использования и (или) зонирование;</w:t>
      </w:r>
    </w:p>
    <w:p w14:paraId="2CD36D7C" w14:textId="77777777" w:rsidR="00746AA0" w:rsidRPr="00746AA0" w:rsidRDefault="00746AA0" w:rsidP="00746AA0">
      <w:pPr>
        <w:numPr>
          <w:ilvl w:val="0"/>
          <w:numId w:val="27"/>
        </w:numPr>
        <w:shd w:val="clear" w:color="auto" w:fill="FFFFFF"/>
        <w:spacing w:before="100" w:beforeAutospacing="1" w:after="100" w:afterAutospacing="1" w:line="260" w:lineRule="atLeast"/>
        <w:jc w:val="both"/>
        <w:rPr>
          <w:rFonts w:cstheme="minorHAnsi"/>
          <w:color w:val="000000"/>
        </w:rPr>
      </w:pPr>
      <w:proofErr w:type="spellStart"/>
      <w:r w:rsidRPr="00746AA0">
        <w:rPr>
          <w:rFonts w:cstheme="minorHAnsi"/>
          <w:color w:val="000000"/>
        </w:rPr>
        <w:t>местоположение</w:t>
      </w:r>
      <w:proofErr w:type="spellEnd"/>
      <w:r w:rsidRPr="00746AA0">
        <w:rPr>
          <w:rFonts w:cstheme="minorHAnsi"/>
          <w:color w:val="000000"/>
        </w:rPr>
        <w:t xml:space="preserve"> </w:t>
      </w:r>
      <w:proofErr w:type="spellStart"/>
      <w:r w:rsidRPr="00746AA0">
        <w:rPr>
          <w:rFonts w:cstheme="minorHAnsi"/>
          <w:color w:val="000000"/>
        </w:rPr>
        <w:t>объекта</w:t>
      </w:r>
      <w:proofErr w:type="spellEnd"/>
      <w:r w:rsidRPr="00746AA0">
        <w:rPr>
          <w:rFonts w:cstheme="minorHAnsi"/>
          <w:color w:val="000000"/>
        </w:rPr>
        <w:t>;</w:t>
      </w:r>
    </w:p>
    <w:p w14:paraId="461BEDBC" w14:textId="77777777" w:rsidR="00746AA0" w:rsidRPr="00746AA0" w:rsidRDefault="00746AA0" w:rsidP="00746AA0">
      <w:pPr>
        <w:numPr>
          <w:ilvl w:val="0"/>
          <w:numId w:val="27"/>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физические характеристики объекта, в том числе свойства земельного участка, состояние объектов капитального строительства, соотношение площади земельного участка и площади его застройки, иные характеристики;</w:t>
      </w:r>
    </w:p>
    <w:p w14:paraId="387C2E46" w14:textId="77777777" w:rsidR="00746AA0" w:rsidRPr="00746AA0" w:rsidRDefault="00746AA0" w:rsidP="00746AA0">
      <w:pPr>
        <w:numPr>
          <w:ilvl w:val="0"/>
          <w:numId w:val="27"/>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экономические характеристики (уровень операционных расходов, условия аренды, состав арендаторов, иные характеристики);</w:t>
      </w:r>
    </w:p>
    <w:p w14:paraId="0F07F944" w14:textId="77777777" w:rsidR="00746AA0" w:rsidRPr="00746AA0" w:rsidRDefault="00746AA0" w:rsidP="00746AA0">
      <w:pPr>
        <w:numPr>
          <w:ilvl w:val="0"/>
          <w:numId w:val="27"/>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наличие движимого имущества, не связанного с недвижимостью;</w:t>
      </w:r>
    </w:p>
    <w:p w14:paraId="3FF26445" w14:textId="77777777" w:rsidR="00746AA0" w:rsidRPr="00746AA0" w:rsidRDefault="00746AA0" w:rsidP="00746AA0">
      <w:pPr>
        <w:numPr>
          <w:ilvl w:val="0"/>
          <w:numId w:val="27"/>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другие характеристики (элементы), влияющие на стоимость;</w:t>
      </w:r>
    </w:p>
    <w:p w14:paraId="50FD783E"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 xml:space="preserve">ж) помимо стоимости, сравнительный подход может использоваться для определения других расчетных показателей, например арендных ставок, износа и </w:t>
      </w:r>
      <w:proofErr w:type="spellStart"/>
      <w:r w:rsidRPr="00746AA0">
        <w:rPr>
          <w:rFonts w:asciiTheme="minorHAnsi" w:hAnsiTheme="minorHAnsi" w:cstheme="minorHAnsi"/>
          <w:color w:val="000000"/>
          <w:sz w:val="22"/>
          <w:szCs w:val="22"/>
          <w:lang w:val="ru-RU"/>
        </w:rPr>
        <w:t>устареваний</w:t>
      </w:r>
      <w:proofErr w:type="spellEnd"/>
      <w:r w:rsidRPr="00746AA0">
        <w:rPr>
          <w:rFonts w:asciiTheme="minorHAnsi" w:hAnsiTheme="minorHAnsi" w:cstheme="minorHAnsi"/>
          <w:color w:val="000000"/>
          <w:sz w:val="22"/>
          <w:szCs w:val="22"/>
          <w:lang w:val="ru-RU"/>
        </w:rPr>
        <w:t>, ставок капитализации и дисконтирования.</w:t>
      </w:r>
    </w:p>
    <w:p w14:paraId="26FABFD0"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23. При применении доходного подхода оценщик учитывает следующие положения:</w:t>
      </w:r>
    </w:p>
    <w:p w14:paraId="7C9D4781"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а) доходный подход применяется для оценки недвижимости, генерирующей или способной генерировать потоки доходов;</w:t>
      </w:r>
    </w:p>
    <w:p w14:paraId="38CD21DD"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б) в рамках доходного подхода стоимость недвижимости может определяться методом прямой капитализации, методом дисконтирования денежных потоков или методом капитализации по расчетным моделям;</w:t>
      </w:r>
    </w:p>
    <w:p w14:paraId="3098FAD2"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 xml:space="preserve">в) метод прямой капитализации применяется для оценки объектов недвижимости, не требующих значительных капитальных вложений в их ремонт или реконструкцию, фактическое использование которых соответствует их наиболее эффективному использованию. Определение стоимости объектов недвижимости с использованием данного метода выполняется путем деления </w:t>
      </w:r>
      <w:r w:rsidRPr="00746AA0">
        <w:rPr>
          <w:rFonts w:asciiTheme="minorHAnsi" w:hAnsiTheme="minorHAnsi" w:cstheme="minorHAnsi"/>
          <w:color w:val="000000"/>
          <w:sz w:val="22"/>
          <w:szCs w:val="22"/>
          <w:lang w:val="ru-RU"/>
        </w:rPr>
        <w:lastRenderedPageBreak/>
        <w:t>соответствующего рынку годового дохода от объекта на общую ставку капитализации, которая при этом определяется на основе анализа рыночных данных о соотношениях доходов и цен объектов недвижимости, аналогичных оцениваемому объекту;</w:t>
      </w:r>
    </w:p>
    <w:p w14:paraId="77DB1477"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г) метод дисконтирования денежных потоков применяется для оценки недвижимости, генерирующей или способной генерировать потоки доходов с произвольной динамикой их изменения во времени путем дисконтирования их по ставке, соответствующей доходности инвестиций в аналогичную недвижимость;</w:t>
      </w:r>
    </w:p>
    <w:p w14:paraId="2AAD12B1"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д) метод капитализации по расчетным моделям применяется для оценки недвижимости, генерирующей регулярные потоки доходов с ожидаемой динамикой их изменения. Капитализация таких доходов проводится по общей ставке капитализации, конструируемой на основе ставки дисконтирования, принимаемой. в расчет модели возврата капитала, способов - и условий финансирования, а также ожидаемых изменений доходов и стоимости недвижимости в будущем;</w:t>
      </w:r>
    </w:p>
    <w:p w14:paraId="4CB2D4B6"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е) структура (учет налогов, возврата капитала, темпов изменения доходов и стоимости актива) используемых ставок дисконтирования и (или) капитализации должна соответствовать структуре дисконтируемого (капитализируемого) дохода;</w:t>
      </w:r>
    </w:p>
    <w:p w14:paraId="03971DBE"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ж) для недвижимости, которую можно сдавать в аренду, в качестве источника доходов следует рассматривать арендные платежи; з) оценка недвижимости, предназначенной для ведения определенного вида бизнеса (например, гостиницы, рестораны, автозаправочные станции), может проводиться на основании информации об операционной деятельности этого бизнеса путем выделения из его стоимости составляющих, не относящихся к оцениваемой недвижимости.</w:t>
      </w:r>
    </w:p>
    <w:p w14:paraId="575CAA69"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24. При применении затратного подхода оценщик</w:t>
      </w:r>
      <w:r w:rsidRPr="00746AA0">
        <w:rPr>
          <w:rFonts w:asciiTheme="minorHAnsi" w:hAnsiTheme="minorHAnsi" w:cstheme="minorHAnsi"/>
          <w:color w:val="000000"/>
          <w:sz w:val="22"/>
          <w:szCs w:val="22"/>
        </w:rPr>
        <w:t> </w:t>
      </w:r>
      <w:r w:rsidRPr="00746AA0">
        <w:rPr>
          <w:rFonts w:asciiTheme="minorHAnsi" w:hAnsiTheme="minorHAnsi" w:cstheme="minorHAnsi"/>
          <w:color w:val="000000"/>
          <w:sz w:val="22"/>
          <w:szCs w:val="22"/>
          <w:lang w:val="ru-RU"/>
        </w:rPr>
        <w:t>учитывает следующие положения:</w:t>
      </w:r>
    </w:p>
    <w:p w14:paraId="19025451"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а) затратный подход рекомендуется применять для оценки объектов недвижимости - земельных участков, застроенных объектами капитального строительства, или объектов капитального строительства, но не их частей, например жилых и нежилых помещений;</w:t>
      </w:r>
    </w:p>
    <w:p w14:paraId="0969568F"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 xml:space="preserve">б) затратный подход целесообразно применять для оценки недвижимости, если она соответствует наиболее эффективному использованию земельного участка как незастроенного и есть возможность корректной оценки физического износа, а также функционального и внешнего (экономического) </w:t>
      </w:r>
      <w:proofErr w:type="spellStart"/>
      <w:r w:rsidRPr="00746AA0">
        <w:rPr>
          <w:rFonts w:asciiTheme="minorHAnsi" w:hAnsiTheme="minorHAnsi" w:cstheme="minorHAnsi"/>
          <w:color w:val="000000"/>
          <w:sz w:val="22"/>
          <w:szCs w:val="22"/>
          <w:lang w:val="ru-RU"/>
        </w:rPr>
        <w:t>устареваний</w:t>
      </w:r>
      <w:proofErr w:type="spellEnd"/>
      <w:r w:rsidRPr="00746AA0">
        <w:rPr>
          <w:rFonts w:asciiTheme="minorHAnsi" w:hAnsiTheme="minorHAnsi" w:cstheme="minorHAnsi"/>
          <w:color w:val="000000"/>
          <w:sz w:val="22"/>
          <w:szCs w:val="22"/>
          <w:lang w:val="ru-RU"/>
        </w:rPr>
        <w:t xml:space="preserve"> объектов капитального строительства;</w:t>
      </w:r>
    </w:p>
    <w:p w14:paraId="292A6918"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в) затратный подход рекомендуется использовать при низкой активности рынка, когда недостаточно данных, необходимых для применения сравнительного и доходного подходов к оценке, а также для оценки недвижимости специального назначения и использования (например, линейных объектов, гидротехнических сооружений, водонапорных башен, насосных станций, котельных, инженерных сетей и другой недвижимости, в отношении которой рыночные данные о сделках и предложениях отсутствуют);</w:t>
      </w:r>
    </w:p>
    <w:p w14:paraId="5B0E7996"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г) в общем случае стоимость объекта недвижимости, определяемая с использованием затратного подхода, рассчитывается в следующей последовательности:</w:t>
      </w:r>
    </w:p>
    <w:p w14:paraId="555B4E5A" w14:textId="77777777" w:rsidR="00746AA0" w:rsidRPr="00746AA0" w:rsidRDefault="00746AA0" w:rsidP="00746AA0">
      <w:pPr>
        <w:numPr>
          <w:ilvl w:val="0"/>
          <w:numId w:val="28"/>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определение стоимости прав на земельный участок как незастроенный;</w:t>
      </w:r>
    </w:p>
    <w:p w14:paraId="2AD9AAE3" w14:textId="77777777" w:rsidR="00746AA0" w:rsidRPr="00746AA0" w:rsidRDefault="00746AA0" w:rsidP="00746AA0">
      <w:pPr>
        <w:numPr>
          <w:ilvl w:val="0"/>
          <w:numId w:val="28"/>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расчет затрат на создание (воспроизводство или замещение) объектов капитального строительства;</w:t>
      </w:r>
    </w:p>
    <w:p w14:paraId="7B7D9849" w14:textId="77777777" w:rsidR="00746AA0" w:rsidRPr="00746AA0" w:rsidRDefault="00746AA0" w:rsidP="00746AA0">
      <w:pPr>
        <w:numPr>
          <w:ilvl w:val="0"/>
          <w:numId w:val="28"/>
        </w:numPr>
        <w:shd w:val="clear" w:color="auto" w:fill="FFFFFF"/>
        <w:spacing w:before="100" w:beforeAutospacing="1" w:after="100" w:afterAutospacing="1" w:line="260" w:lineRule="atLeast"/>
        <w:jc w:val="both"/>
        <w:rPr>
          <w:rFonts w:cstheme="minorHAnsi"/>
          <w:color w:val="000000"/>
        </w:rPr>
      </w:pPr>
      <w:proofErr w:type="spellStart"/>
      <w:r w:rsidRPr="00746AA0">
        <w:rPr>
          <w:rFonts w:cstheme="minorHAnsi"/>
          <w:color w:val="000000"/>
        </w:rPr>
        <w:t>определение</w:t>
      </w:r>
      <w:proofErr w:type="spellEnd"/>
      <w:r w:rsidRPr="00746AA0">
        <w:rPr>
          <w:rFonts w:cstheme="minorHAnsi"/>
          <w:color w:val="000000"/>
        </w:rPr>
        <w:t xml:space="preserve"> </w:t>
      </w:r>
      <w:proofErr w:type="spellStart"/>
      <w:r w:rsidRPr="00746AA0">
        <w:rPr>
          <w:rFonts w:cstheme="minorHAnsi"/>
          <w:color w:val="000000"/>
        </w:rPr>
        <w:t>прибыли</w:t>
      </w:r>
      <w:proofErr w:type="spellEnd"/>
      <w:r w:rsidRPr="00746AA0">
        <w:rPr>
          <w:rFonts w:cstheme="minorHAnsi"/>
          <w:color w:val="000000"/>
        </w:rPr>
        <w:t xml:space="preserve"> </w:t>
      </w:r>
      <w:proofErr w:type="spellStart"/>
      <w:r w:rsidRPr="00746AA0">
        <w:rPr>
          <w:rFonts w:cstheme="minorHAnsi"/>
          <w:color w:val="000000"/>
        </w:rPr>
        <w:t>предпринимателя</w:t>
      </w:r>
      <w:proofErr w:type="spellEnd"/>
      <w:r w:rsidRPr="00746AA0">
        <w:rPr>
          <w:rFonts w:cstheme="minorHAnsi"/>
          <w:color w:val="000000"/>
        </w:rPr>
        <w:t>;</w:t>
      </w:r>
    </w:p>
    <w:p w14:paraId="1C480FD9" w14:textId="77777777" w:rsidR="00746AA0" w:rsidRPr="00746AA0" w:rsidRDefault="00746AA0" w:rsidP="00746AA0">
      <w:pPr>
        <w:numPr>
          <w:ilvl w:val="0"/>
          <w:numId w:val="28"/>
        </w:numPr>
        <w:shd w:val="clear" w:color="auto" w:fill="FFFFFF"/>
        <w:spacing w:before="100" w:beforeAutospacing="1" w:after="100" w:afterAutospacing="1" w:line="260" w:lineRule="atLeast"/>
        <w:jc w:val="both"/>
        <w:rPr>
          <w:rFonts w:cstheme="minorHAnsi"/>
          <w:color w:val="000000"/>
        </w:rPr>
      </w:pPr>
      <w:proofErr w:type="spellStart"/>
      <w:r w:rsidRPr="00746AA0">
        <w:rPr>
          <w:rFonts w:cstheme="minorHAnsi"/>
          <w:color w:val="000000"/>
        </w:rPr>
        <w:t>определение</w:t>
      </w:r>
      <w:proofErr w:type="spellEnd"/>
      <w:r w:rsidRPr="00746AA0">
        <w:rPr>
          <w:rFonts w:cstheme="minorHAnsi"/>
          <w:color w:val="000000"/>
        </w:rPr>
        <w:t xml:space="preserve"> </w:t>
      </w:r>
      <w:proofErr w:type="spellStart"/>
      <w:r w:rsidRPr="00746AA0">
        <w:rPr>
          <w:rFonts w:cstheme="minorHAnsi"/>
          <w:color w:val="000000"/>
        </w:rPr>
        <w:t>износа</w:t>
      </w:r>
      <w:proofErr w:type="spellEnd"/>
      <w:r w:rsidRPr="00746AA0">
        <w:rPr>
          <w:rFonts w:cstheme="minorHAnsi"/>
          <w:color w:val="000000"/>
        </w:rPr>
        <w:t xml:space="preserve"> и </w:t>
      </w:r>
      <w:proofErr w:type="spellStart"/>
      <w:r w:rsidRPr="00746AA0">
        <w:rPr>
          <w:rFonts w:cstheme="minorHAnsi"/>
          <w:color w:val="000000"/>
        </w:rPr>
        <w:t>устареваний</w:t>
      </w:r>
      <w:proofErr w:type="spellEnd"/>
      <w:r w:rsidRPr="00746AA0">
        <w:rPr>
          <w:rFonts w:cstheme="minorHAnsi"/>
          <w:color w:val="000000"/>
        </w:rPr>
        <w:t>;</w:t>
      </w:r>
    </w:p>
    <w:p w14:paraId="1394BDE5" w14:textId="77777777" w:rsidR="00746AA0" w:rsidRPr="00746AA0" w:rsidRDefault="00746AA0" w:rsidP="00746AA0">
      <w:pPr>
        <w:numPr>
          <w:ilvl w:val="0"/>
          <w:numId w:val="28"/>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lastRenderedPageBreak/>
        <w:t xml:space="preserve">определение стоимости объектов капитального строительства путем суммирования затрат на создание этих объектов и прибыли предпринимателя и вычитания их физического износа и </w:t>
      </w:r>
      <w:proofErr w:type="spellStart"/>
      <w:r w:rsidRPr="00746AA0">
        <w:rPr>
          <w:rFonts w:cstheme="minorHAnsi"/>
          <w:color w:val="000000"/>
          <w:lang w:val="ru-RU"/>
        </w:rPr>
        <w:t>устареваний</w:t>
      </w:r>
      <w:proofErr w:type="spellEnd"/>
      <w:r w:rsidRPr="00746AA0">
        <w:rPr>
          <w:rFonts w:cstheme="minorHAnsi"/>
          <w:color w:val="000000"/>
          <w:lang w:val="ru-RU"/>
        </w:rPr>
        <w:t>;</w:t>
      </w:r>
    </w:p>
    <w:p w14:paraId="4C45A74C" w14:textId="77777777" w:rsidR="00746AA0" w:rsidRPr="00746AA0" w:rsidRDefault="00746AA0" w:rsidP="00746AA0">
      <w:pPr>
        <w:numPr>
          <w:ilvl w:val="0"/>
          <w:numId w:val="28"/>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определение стоимости объекта недвижимости как суммы стоимости прав на земельный участок и стоимости объектов капитального строительства;</w:t>
      </w:r>
    </w:p>
    <w:p w14:paraId="272FF5CA"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д) для целей определения рыночной стоимости объекта недвижимости с использованием затратного подхода земельный участок оценивается как незастроенный в предположении его наиболее эффективного использования;</w:t>
      </w:r>
    </w:p>
    <w:p w14:paraId="75F4FE6D"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е) расчет затрат на создание объектов капитального строительства производится на основании:</w:t>
      </w:r>
    </w:p>
    <w:p w14:paraId="52D196B4" w14:textId="77777777" w:rsidR="00746AA0" w:rsidRPr="00746AA0" w:rsidRDefault="00746AA0" w:rsidP="00746AA0">
      <w:pPr>
        <w:numPr>
          <w:ilvl w:val="0"/>
          <w:numId w:val="29"/>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данных о строительных контрактах (договорах) на возведение аналогичных объектов;</w:t>
      </w:r>
    </w:p>
    <w:p w14:paraId="4D8F6203" w14:textId="77777777" w:rsidR="00746AA0" w:rsidRPr="00746AA0" w:rsidRDefault="00746AA0" w:rsidP="00746AA0">
      <w:pPr>
        <w:numPr>
          <w:ilvl w:val="0"/>
          <w:numId w:val="29"/>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данных о затратах на строительство аналогичных объектов из специализированных справочников;</w:t>
      </w:r>
    </w:p>
    <w:p w14:paraId="10AFF924" w14:textId="77777777" w:rsidR="00746AA0" w:rsidRPr="00746AA0" w:rsidRDefault="00746AA0" w:rsidP="00746AA0">
      <w:pPr>
        <w:numPr>
          <w:ilvl w:val="0"/>
          <w:numId w:val="29"/>
        </w:numPr>
        <w:shd w:val="clear" w:color="auto" w:fill="FFFFFF"/>
        <w:spacing w:before="100" w:beforeAutospacing="1" w:after="100" w:afterAutospacing="1" w:line="260" w:lineRule="atLeast"/>
        <w:jc w:val="both"/>
        <w:rPr>
          <w:rFonts w:cstheme="minorHAnsi"/>
          <w:color w:val="000000"/>
        </w:rPr>
      </w:pPr>
      <w:proofErr w:type="spellStart"/>
      <w:r w:rsidRPr="00746AA0">
        <w:rPr>
          <w:rFonts w:cstheme="minorHAnsi"/>
          <w:color w:val="000000"/>
        </w:rPr>
        <w:t>сметных</w:t>
      </w:r>
      <w:proofErr w:type="spellEnd"/>
      <w:r w:rsidRPr="00746AA0">
        <w:rPr>
          <w:rFonts w:cstheme="minorHAnsi"/>
          <w:color w:val="000000"/>
        </w:rPr>
        <w:t xml:space="preserve"> </w:t>
      </w:r>
      <w:proofErr w:type="spellStart"/>
      <w:r w:rsidRPr="00746AA0">
        <w:rPr>
          <w:rFonts w:cstheme="minorHAnsi"/>
          <w:color w:val="000000"/>
        </w:rPr>
        <w:t>расчетов</w:t>
      </w:r>
      <w:proofErr w:type="spellEnd"/>
      <w:r w:rsidRPr="00746AA0">
        <w:rPr>
          <w:rFonts w:cstheme="minorHAnsi"/>
          <w:color w:val="000000"/>
        </w:rPr>
        <w:t>;</w:t>
      </w:r>
    </w:p>
    <w:p w14:paraId="49F58AB5" w14:textId="77777777" w:rsidR="00746AA0" w:rsidRPr="00746AA0" w:rsidRDefault="00746AA0" w:rsidP="00746AA0">
      <w:pPr>
        <w:numPr>
          <w:ilvl w:val="0"/>
          <w:numId w:val="29"/>
        </w:numPr>
        <w:shd w:val="clear" w:color="auto" w:fill="FFFFFF"/>
        <w:spacing w:before="100" w:beforeAutospacing="1" w:after="100" w:afterAutospacing="1" w:line="260" w:lineRule="atLeast"/>
        <w:jc w:val="both"/>
        <w:rPr>
          <w:rFonts w:cstheme="minorHAnsi"/>
          <w:color w:val="000000"/>
          <w:lang w:val="ru-RU"/>
        </w:rPr>
      </w:pPr>
      <w:r w:rsidRPr="00746AA0">
        <w:rPr>
          <w:rFonts w:cstheme="minorHAnsi"/>
          <w:color w:val="000000"/>
          <w:lang w:val="ru-RU"/>
        </w:rPr>
        <w:t>информации о рыночных ценах на строительные материалы;</w:t>
      </w:r>
    </w:p>
    <w:p w14:paraId="6BD7172B" w14:textId="77777777" w:rsidR="00746AA0" w:rsidRPr="00746AA0" w:rsidRDefault="00746AA0" w:rsidP="00746AA0">
      <w:pPr>
        <w:numPr>
          <w:ilvl w:val="0"/>
          <w:numId w:val="29"/>
        </w:numPr>
        <w:shd w:val="clear" w:color="auto" w:fill="FFFFFF"/>
        <w:spacing w:before="100" w:beforeAutospacing="1" w:after="100" w:afterAutospacing="1" w:line="260" w:lineRule="atLeast"/>
        <w:jc w:val="both"/>
        <w:rPr>
          <w:rFonts w:cstheme="minorHAnsi"/>
          <w:color w:val="000000"/>
        </w:rPr>
      </w:pPr>
      <w:proofErr w:type="spellStart"/>
      <w:r w:rsidRPr="00746AA0">
        <w:rPr>
          <w:rFonts w:cstheme="minorHAnsi"/>
          <w:color w:val="000000"/>
        </w:rPr>
        <w:t>других</w:t>
      </w:r>
      <w:proofErr w:type="spellEnd"/>
      <w:r w:rsidRPr="00746AA0">
        <w:rPr>
          <w:rFonts w:cstheme="minorHAnsi"/>
          <w:color w:val="000000"/>
        </w:rPr>
        <w:t xml:space="preserve"> </w:t>
      </w:r>
      <w:proofErr w:type="spellStart"/>
      <w:r w:rsidRPr="00746AA0">
        <w:rPr>
          <w:rFonts w:cstheme="minorHAnsi"/>
          <w:color w:val="000000"/>
        </w:rPr>
        <w:t>данных</w:t>
      </w:r>
      <w:proofErr w:type="spellEnd"/>
      <w:r w:rsidRPr="00746AA0">
        <w:rPr>
          <w:rFonts w:cstheme="minorHAnsi"/>
          <w:color w:val="000000"/>
        </w:rPr>
        <w:t>;</w:t>
      </w:r>
    </w:p>
    <w:p w14:paraId="35A0CF86"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ж) затраты на создание объектов капитального строительства определяются как сумма издержек, входящих в состав, строительно-монтажных работ, непосредственно связанных с созданием этих объектов, и издержек, сопутствующих их созданию, но не включаемых в состав строительно-монтажных работ;</w:t>
      </w:r>
    </w:p>
    <w:p w14:paraId="754607BE"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з) для целей оценки рыночной стоимости недвижимости величина прибыли предпринимателя определяется на основе рыночной информации методами экстракции, экспертных оценок или аналитических моделей с учетом прямых, косвенных и вмененных издержек, связанных с созданием объектов капитального строительства и приобретением прав на земельный участок;</w:t>
      </w:r>
    </w:p>
    <w:p w14:paraId="1AA3E97B"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 xml:space="preserve">и) величина износа и </w:t>
      </w:r>
      <w:proofErr w:type="spellStart"/>
      <w:r w:rsidRPr="00746AA0">
        <w:rPr>
          <w:rFonts w:asciiTheme="minorHAnsi" w:hAnsiTheme="minorHAnsi" w:cstheme="minorHAnsi"/>
          <w:color w:val="000000"/>
          <w:sz w:val="22"/>
          <w:szCs w:val="22"/>
          <w:lang w:val="ru-RU"/>
        </w:rPr>
        <w:t>устареваний</w:t>
      </w:r>
      <w:proofErr w:type="spellEnd"/>
      <w:r w:rsidRPr="00746AA0">
        <w:rPr>
          <w:rFonts w:asciiTheme="minorHAnsi" w:hAnsiTheme="minorHAnsi" w:cstheme="minorHAnsi"/>
          <w:color w:val="000000"/>
          <w:sz w:val="22"/>
          <w:szCs w:val="22"/>
          <w:lang w:val="ru-RU"/>
        </w:rPr>
        <w:t xml:space="preserve"> определяется как потеря стоимости недвижимости в результате физического износа, функционального и внешнего (экономического) </w:t>
      </w:r>
      <w:proofErr w:type="spellStart"/>
      <w:r w:rsidRPr="00746AA0">
        <w:rPr>
          <w:rFonts w:asciiTheme="minorHAnsi" w:hAnsiTheme="minorHAnsi" w:cstheme="minorHAnsi"/>
          <w:color w:val="000000"/>
          <w:sz w:val="22"/>
          <w:szCs w:val="22"/>
          <w:lang w:val="ru-RU"/>
        </w:rPr>
        <w:t>устареваний</w:t>
      </w:r>
      <w:proofErr w:type="spellEnd"/>
      <w:r w:rsidRPr="00746AA0">
        <w:rPr>
          <w:rFonts w:asciiTheme="minorHAnsi" w:hAnsiTheme="minorHAnsi" w:cstheme="minorHAnsi"/>
          <w:color w:val="000000"/>
          <w:sz w:val="22"/>
          <w:szCs w:val="22"/>
          <w:lang w:val="ru-RU"/>
        </w:rPr>
        <w:t>. При этом износ и устаревания относятся к объектам капитального строительства, относящимся к оцениваемой недвижимости.</w:t>
      </w:r>
    </w:p>
    <w:p w14:paraId="1D40C510"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25.</w:t>
      </w:r>
      <w:r w:rsidRPr="00746AA0">
        <w:rPr>
          <w:rFonts w:asciiTheme="minorHAnsi" w:hAnsiTheme="minorHAnsi" w:cstheme="minorHAnsi"/>
          <w:color w:val="000000"/>
          <w:sz w:val="22"/>
          <w:szCs w:val="22"/>
        </w:rPr>
        <w:t> </w:t>
      </w:r>
      <w:hyperlink r:id="rId9" w:history="1">
        <w:r w:rsidRPr="00746AA0">
          <w:rPr>
            <w:rStyle w:val="a9"/>
            <w:rFonts w:asciiTheme="minorHAnsi" w:hAnsiTheme="minorHAnsi" w:cstheme="minorHAnsi"/>
            <w:sz w:val="22"/>
            <w:szCs w:val="22"/>
            <w:lang w:val="ru-RU"/>
          </w:rPr>
          <w:t>Оценщик</w:t>
        </w:r>
      </w:hyperlink>
      <w:r w:rsidRPr="00746AA0">
        <w:rPr>
          <w:rFonts w:asciiTheme="minorHAnsi" w:hAnsiTheme="minorHAnsi" w:cstheme="minorHAnsi"/>
          <w:color w:val="000000"/>
          <w:sz w:val="22"/>
          <w:szCs w:val="22"/>
        </w:rPr>
        <w:t> </w:t>
      </w:r>
      <w:r w:rsidRPr="00746AA0">
        <w:rPr>
          <w:rFonts w:asciiTheme="minorHAnsi" w:hAnsiTheme="minorHAnsi" w:cstheme="minorHAnsi"/>
          <w:color w:val="000000"/>
          <w:sz w:val="22"/>
          <w:szCs w:val="22"/>
          <w:lang w:val="ru-RU"/>
        </w:rPr>
        <w:t>вправе использовать иную</w:t>
      </w:r>
      <w:r w:rsidRPr="00746AA0">
        <w:rPr>
          <w:rFonts w:asciiTheme="minorHAnsi" w:hAnsiTheme="minorHAnsi" w:cstheme="minorHAnsi"/>
          <w:color w:val="000000"/>
          <w:sz w:val="22"/>
          <w:szCs w:val="22"/>
        </w:rPr>
        <w:t> </w:t>
      </w:r>
      <w:r w:rsidRPr="00746AA0">
        <w:rPr>
          <w:rFonts w:asciiTheme="minorHAnsi" w:hAnsiTheme="minorHAnsi" w:cstheme="minorHAnsi"/>
          <w:color w:val="000000"/>
          <w:sz w:val="22"/>
          <w:szCs w:val="22"/>
          <w:lang w:val="ru-RU"/>
        </w:rPr>
        <w:t xml:space="preserve">методологию расчетов и самостоятельно определять метод (методы) оценки недвижимости в рамках каждого из выбранных подходов, основываясь на принципах существенности, обоснованности, однозначности, </w:t>
      </w:r>
      <w:proofErr w:type="spellStart"/>
      <w:r w:rsidRPr="00746AA0">
        <w:rPr>
          <w:rFonts w:asciiTheme="minorHAnsi" w:hAnsiTheme="minorHAnsi" w:cstheme="minorHAnsi"/>
          <w:color w:val="000000"/>
          <w:sz w:val="22"/>
          <w:szCs w:val="22"/>
          <w:lang w:val="ru-RU"/>
        </w:rPr>
        <w:t>проверяемости</w:t>
      </w:r>
      <w:proofErr w:type="spellEnd"/>
      <w:r w:rsidRPr="00746AA0">
        <w:rPr>
          <w:rFonts w:asciiTheme="minorHAnsi" w:hAnsiTheme="minorHAnsi" w:cstheme="minorHAnsi"/>
          <w:color w:val="000000"/>
          <w:sz w:val="22"/>
          <w:szCs w:val="22"/>
          <w:lang w:val="ru-RU"/>
        </w:rPr>
        <w:t xml:space="preserve"> и достаточности. При этом в отчете об оценке необходимо привести описание выбранного оценщиком метода (методов), позволяющее пользователю отчета об оценке понять логику процесса определения стоимости и соответствие выбранного оценщиком метода (методов) объекту недвижимости, принципам оценки, определяемому виду стоимости и предполагаемому использованию результатов оценки.</w:t>
      </w:r>
    </w:p>
    <w:p w14:paraId="58D4C530" w14:textId="77777777" w:rsidR="00746AA0" w:rsidRPr="00746AA0" w:rsidRDefault="00746AA0" w:rsidP="00746AA0">
      <w:pPr>
        <w:pStyle w:val="aa"/>
        <w:shd w:val="clear" w:color="auto" w:fill="FFFFFF"/>
        <w:spacing w:line="280" w:lineRule="atLeast"/>
        <w:jc w:val="center"/>
        <w:rPr>
          <w:rFonts w:asciiTheme="minorHAnsi" w:hAnsiTheme="minorHAnsi" w:cstheme="minorHAnsi"/>
          <w:color w:val="000000"/>
          <w:sz w:val="22"/>
          <w:szCs w:val="22"/>
          <w:lang w:val="ru-RU"/>
        </w:rPr>
      </w:pPr>
      <w:r w:rsidRPr="00746AA0">
        <w:rPr>
          <w:rStyle w:val="ab"/>
          <w:rFonts w:asciiTheme="minorHAnsi" w:hAnsiTheme="minorHAnsi" w:cstheme="minorHAnsi"/>
          <w:color w:val="000000"/>
          <w:sz w:val="22"/>
          <w:szCs w:val="22"/>
        </w:rPr>
        <w:t>VIII</w:t>
      </w:r>
      <w:r w:rsidRPr="00746AA0">
        <w:rPr>
          <w:rStyle w:val="ab"/>
          <w:rFonts w:asciiTheme="minorHAnsi" w:hAnsiTheme="minorHAnsi" w:cstheme="minorHAnsi"/>
          <w:color w:val="000000"/>
          <w:sz w:val="22"/>
          <w:szCs w:val="22"/>
          <w:lang w:val="ru-RU"/>
        </w:rPr>
        <w:t>. Согласование результатов оценки</w:t>
      </w:r>
    </w:p>
    <w:p w14:paraId="759D9C20"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26. Согласование результатов оценки недвижимости, полученных с использованием различных методов и подходов, к оценке, и отражение его результатов в отчете об оценке осуществляются в соответствии с требованиями</w:t>
      </w:r>
      <w:r w:rsidRPr="00746AA0">
        <w:rPr>
          <w:rFonts w:asciiTheme="minorHAnsi" w:hAnsiTheme="minorHAnsi" w:cstheme="minorHAnsi"/>
          <w:color w:val="000000"/>
          <w:sz w:val="22"/>
          <w:szCs w:val="22"/>
        </w:rPr>
        <w:t> </w:t>
      </w:r>
      <w:hyperlink r:id="rId10" w:history="1">
        <w:r w:rsidRPr="00746AA0">
          <w:rPr>
            <w:rStyle w:val="a9"/>
            <w:rFonts w:asciiTheme="minorHAnsi" w:hAnsiTheme="minorHAnsi" w:cstheme="minorHAnsi"/>
            <w:sz w:val="22"/>
            <w:szCs w:val="22"/>
            <w:lang w:val="ru-RU"/>
          </w:rPr>
          <w:t>ФСО № 1</w:t>
        </w:r>
      </w:hyperlink>
      <w:r w:rsidRPr="00746AA0">
        <w:rPr>
          <w:rFonts w:asciiTheme="minorHAnsi" w:hAnsiTheme="minorHAnsi" w:cstheme="minorHAnsi"/>
          <w:color w:val="000000"/>
          <w:sz w:val="22"/>
          <w:szCs w:val="22"/>
        </w:rPr>
        <w:t> </w:t>
      </w:r>
      <w:r w:rsidRPr="00746AA0">
        <w:rPr>
          <w:rFonts w:asciiTheme="minorHAnsi" w:hAnsiTheme="minorHAnsi" w:cstheme="minorHAnsi"/>
          <w:color w:val="000000"/>
          <w:sz w:val="22"/>
          <w:szCs w:val="22"/>
          <w:lang w:val="ru-RU"/>
        </w:rPr>
        <w:t>и</w:t>
      </w:r>
      <w:r w:rsidRPr="00746AA0">
        <w:rPr>
          <w:rFonts w:asciiTheme="minorHAnsi" w:hAnsiTheme="minorHAnsi" w:cstheme="minorHAnsi"/>
          <w:color w:val="000000"/>
          <w:sz w:val="22"/>
          <w:szCs w:val="22"/>
        </w:rPr>
        <w:t> </w:t>
      </w:r>
      <w:hyperlink r:id="rId11" w:history="1">
        <w:r w:rsidRPr="00746AA0">
          <w:rPr>
            <w:rStyle w:val="a9"/>
            <w:rFonts w:asciiTheme="minorHAnsi" w:hAnsiTheme="minorHAnsi" w:cstheme="minorHAnsi"/>
            <w:sz w:val="22"/>
            <w:szCs w:val="22"/>
            <w:lang w:val="ru-RU"/>
          </w:rPr>
          <w:t>ФСО № 3</w:t>
        </w:r>
      </w:hyperlink>
      <w:r w:rsidRPr="00746AA0">
        <w:rPr>
          <w:rFonts w:asciiTheme="minorHAnsi" w:hAnsiTheme="minorHAnsi" w:cstheme="minorHAnsi"/>
          <w:color w:val="000000"/>
          <w:sz w:val="22"/>
          <w:szCs w:val="22"/>
          <w:lang w:val="ru-RU"/>
        </w:rPr>
        <w:t>.</w:t>
      </w:r>
    </w:p>
    <w:p w14:paraId="3A7B61B9"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27. В случае использования в рамках какого-либо из подходов к оценке недвижимости нескольких методов оценки выполняется предварительное согласование их результатов с целью получения промежуточного результата оценки недвижимости данным подходом.</w:t>
      </w:r>
    </w:p>
    <w:p w14:paraId="2A60D7D7"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lastRenderedPageBreak/>
        <w:t>28. В процессе согласования промежуточных результатов оценки недвижимости, полученных с применением разных подходов, следует проанализировать достоинства и недостатки этих подходов, объяснить расхождение промежуточных результатов и на основе проведенного анализа определить итоговый результат оценки недвижимости.</w:t>
      </w:r>
    </w:p>
    <w:p w14:paraId="60452094"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29. При недостаточности рыночных данных, необходимых для реализации какого-либо из подходов к оценке недвижимости в соответствии с требованиями настоящего Федерального стандарта оценки и ФСО № 1,</w:t>
      </w:r>
      <w:r w:rsidRPr="00746AA0">
        <w:rPr>
          <w:rFonts w:asciiTheme="minorHAnsi" w:hAnsiTheme="minorHAnsi" w:cstheme="minorHAnsi"/>
          <w:color w:val="000000"/>
          <w:sz w:val="22"/>
          <w:szCs w:val="22"/>
        </w:rPr>
        <w:t> </w:t>
      </w:r>
      <w:hyperlink r:id="rId12" w:history="1">
        <w:r w:rsidRPr="00746AA0">
          <w:rPr>
            <w:rStyle w:val="a9"/>
            <w:rFonts w:asciiTheme="minorHAnsi" w:hAnsiTheme="minorHAnsi" w:cstheme="minorHAnsi"/>
            <w:sz w:val="22"/>
            <w:szCs w:val="22"/>
            <w:lang w:val="ru-RU"/>
          </w:rPr>
          <w:t>ФСО № 2</w:t>
        </w:r>
      </w:hyperlink>
      <w:r w:rsidRPr="00746AA0">
        <w:rPr>
          <w:rFonts w:asciiTheme="minorHAnsi" w:hAnsiTheme="minorHAnsi" w:cstheme="minorHAnsi"/>
          <w:color w:val="000000"/>
          <w:sz w:val="22"/>
          <w:szCs w:val="22"/>
          <w:lang w:val="ru-RU"/>
        </w:rPr>
        <w:t>, ФСО № 3, в рамках выбранного подхода на основе имеющихся данных рекомендуется указать ориентировочные значения (значение) оцениваемой величины, которые не учитываются при итоговом согласовании, но могут быть использованы в качестве поверочных к итоговому результату оценки недвижимости.</w:t>
      </w:r>
    </w:p>
    <w:p w14:paraId="56FFC6EC" w14:textId="77777777" w:rsidR="00746AA0" w:rsidRPr="00746AA0" w:rsidRDefault="00746AA0" w:rsidP="00746AA0">
      <w:pPr>
        <w:pStyle w:val="aa"/>
        <w:shd w:val="clear" w:color="auto" w:fill="FFFFFF"/>
        <w:spacing w:line="280" w:lineRule="atLeast"/>
        <w:jc w:val="both"/>
        <w:rPr>
          <w:rFonts w:asciiTheme="minorHAnsi" w:hAnsiTheme="minorHAnsi" w:cstheme="minorHAnsi"/>
          <w:color w:val="000000"/>
          <w:sz w:val="22"/>
          <w:szCs w:val="22"/>
          <w:lang w:val="ru-RU"/>
        </w:rPr>
      </w:pPr>
      <w:r w:rsidRPr="00746AA0">
        <w:rPr>
          <w:rFonts w:asciiTheme="minorHAnsi" w:hAnsiTheme="minorHAnsi" w:cstheme="minorHAnsi"/>
          <w:color w:val="000000"/>
          <w:sz w:val="22"/>
          <w:szCs w:val="22"/>
          <w:lang w:val="ru-RU"/>
        </w:rPr>
        <w:t>30. После проведения процедуры согласования оценщик, помимо указания в отчете об оценке итогового результата оценки стоимости недвижимости, приводит свое суждение о возможных границах интервала, в котором, по его мнению, может находиться эта стоимость, если в задании на оценку не указано иное.</w:t>
      </w:r>
    </w:p>
    <w:p w14:paraId="502F5258" w14:textId="3A3B7300" w:rsidR="00A84816" w:rsidRPr="00746AA0" w:rsidRDefault="00A84816" w:rsidP="00A84816">
      <w:pPr>
        <w:pStyle w:val="aa"/>
        <w:shd w:val="clear" w:color="auto" w:fill="FFFFFF"/>
        <w:spacing w:line="280" w:lineRule="atLeast"/>
        <w:jc w:val="both"/>
        <w:rPr>
          <w:rFonts w:asciiTheme="minorHAnsi" w:hAnsiTheme="minorHAnsi" w:cstheme="minorHAnsi"/>
          <w:color w:val="000000"/>
          <w:sz w:val="22"/>
          <w:szCs w:val="22"/>
          <w:lang w:val="ru-RU"/>
        </w:rPr>
      </w:pPr>
    </w:p>
    <w:p w14:paraId="6DE9CA72" w14:textId="2099928F" w:rsidR="004937DC" w:rsidRPr="00746AA0" w:rsidRDefault="004937DC" w:rsidP="004937DC">
      <w:pPr>
        <w:pStyle w:val="aa"/>
        <w:shd w:val="clear" w:color="auto" w:fill="FFFFFF"/>
        <w:spacing w:line="280" w:lineRule="atLeast"/>
        <w:jc w:val="both"/>
        <w:rPr>
          <w:rFonts w:asciiTheme="minorHAnsi" w:hAnsiTheme="minorHAnsi" w:cstheme="minorHAnsi"/>
          <w:color w:val="000000"/>
          <w:sz w:val="22"/>
          <w:szCs w:val="22"/>
          <w:lang w:val="ru-RU"/>
        </w:rPr>
      </w:pPr>
    </w:p>
    <w:p w14:paraId="76DB272F" w14:textId="796BA4E5" w:rsidR="0010090C" w:rsidRPr="00746AA0" w:rsidRDefault="0010090C" w:rsidP="00DC6AF8">
      <w:pPr>
        <w:rPr>
          <w:rFonts w:cstheme="minorHAnsi"/>
          <w:lang w:val="ru-RU"/>
        </w:rPr>
      </w:pPr>
    </w:p>
    <w:sectPr w:rsidR="0010090C" w:rsidRPr="00746AA0" w:rsidSect="00A77B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0F36A" w14:textId="77777777" w:rsidR="00486702" w:rsidRDefault="00486702" w:rsidP="0010090C">
      <w:pPr>
        <w:spacing w:after="0" w:line="240" w:lineRule="auto"/>
      </w:pPr>
      <w:r>
        <w:separator/>
      </w:r>
    </w:p>
  </w:endnote>
  <w:endnote w:type="continuationSeparator" w:id="0">
    <w:p w14:paraId="744F441E" w14:textId="77777777" w:rsidR="00486702" w:rsidRDefault="00486702" w:rsidP="0010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8AC4DB" w14:textId="77777777" w:rsidR="00486702" w:rsidRDefault="00486702" w:rsidP="0010090C">
      <w:pPr>
        <w:spacing w:after="0" w:line="240" w:lineRule="auto"/>
      </w:pPr>
      <w:r>
        <w:separator/>
      </w:r>
    </w:p>
  </w:footnote>
  <w:footnote w:type="continuationSeparator" w:id="0">
    <w:p w14:paraId="4522BE43" w14:textId="77777777" w:rsidR="00486702" w:rsidRDefault="00486702" w:rsidP="001009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9A1"/>
    <w:multiLevelType w:val="multilevel"/>
    <w:tmpl w:val="9AA8C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AB4EE7"/>
    <w:multiLevelType w:val="multilevel"/>
    <w:tmpl w:val="71787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D5265"/>
    <w:multiLevelType w:val="multilevel"/>
    <w:tmpl w:val="4C3AC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4706EF"/>
    <w:multiLevelType w:val="multilevel"/>
    <w:tmpl w:val="3BDC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5190D"/>
    <w:multiLevelType w:val="multilevel"/>
    <w:tmpl w:val="886E8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0848AE"/>
    <w:multiLevelType w:val="multilevel"/>
    <w:tmpl w:val="1B62D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C32597"/>
    <w:multiLevelType w:val="multilevel"/>
    <w:tmpl w:val="9C422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472DF"/>
    <w:multiLevelType w:val="multilevel"/>
    <w:tmpl w:val="421C8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46203B"/>
    <w:multiLevelType w:val="multilevel"/>
    <w:tmpl w:val="3972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CF5D7F"/>
    <w:multiLevelType w:val="multilevel"/>
    <w:tmpl w:val="2C203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D755CF"/>
    <w:multiLevelType w:val="multilevel"/>
    <w:tmpl w:val="5A68C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C808C1"/>
    <w:multiLevelType w:val="multilevel"/>
    <w:tmpl w:val="E7929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72633B"/>
    <w:multiLevelType w:val="multilevel"/>
    <w:tmpl w:val="1FF45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F6023A"/>
    <w:multiLevelType w:val="multilevel"/>
    <w:tmpl w:val="3CAC1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971FB0"/>
    <w:multiLevelType w:val="multilevel"/>
    <w:tmpl w:val="98AA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D10B8F"/>
    <w:multiLevelType w:val="multilevel"/>
    <w:tmpl w:val="555C41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D67E86"/>
    <w:multiLevelType w:val="multilevel"/>
    <w:tmpl w:val="5D5A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D45D73"/>
    <w:multiLevelType w:val="multilevel"/>
    <w:tmpl w:val="7BF61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574EE1"/>
    <w:multiLevelType w:val="multilevel"/>
    <w:tmpl w:val="9066F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FCA1ABC"/>
    <w:multiLevelType w:val="multilevel"/>
    <w:tmpl w:val="9468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6F4EF4"/>
    <w:multiLevelType w:val="multilevel"/>
    <w:tmpl w:val="362EC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285945"/>
    <w:multiLevelType w:val="multilevel"/>
    <w:tmpl w:val="EB444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732542"/>
    <w:multiLevelType w:val="multilevel"/>
    <w:tmpl w:val="2FE6DD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751E83"/>
    <w:multiLevelType w:val="multilevel"/>
    <w:tmpl w:val="9066FA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C13A2B"/>
    <w:multiLevelType w:val="multilevel"/>
    <w:tmpl w:val="99E42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C7F27"/>
    <w:multiLevelType w:val="multilevel"/>
    <w:tmpl w:val="B182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04278D"/>
    <w:multiLevelType w:val="multilevel"/>
    <w:tmpl w:val="F4DC4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84675F"/>
    <w:multiLevelType w:val="multilevel"/>
    <w:tmpl w:val="EDBA7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E75A36"/>
    <w:multiLevelType w:val="multilevel"/>
    <w:tmpl w:val="4316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8"/>
  </w:num>
  <w:num w:numId="3">
    <w:abstractNumId w:val="5"/>
  </w:num>
  <w:num w:numId="4">
    <w:abstractNumId w:val="7"/>
  </w:num>
  <w:num w:numId="5">
    <w:abstractNumId w:val="3"/>
  </w:num>
  <w:num w:numId="6">
    <w:abstractNumId w:val="17"/>
  </w:num>
  <w:num w:numId="7">
    <w:abstractNumId w:val="16"/>
  </w:num>
  <w:num w:numId="8">
    <w:abstractNumId w:val="23"/>
  </w:num>
  <w:num w:numId="9">
    <w:abstractNumId w:val="25"/>
  </w:num>
  <w:num w:numId="10">
    <w:abstractNumId w:val="12"/>
  </w:num>
  <w:num w:numId="11">
    <w:abstractNumId w:val="9"/>
  </w:num>
  <w:num w:numId="12">
    <w:abstractNumId w:val="11"/>
  </w:num>
  <w:num w:numId="13">
    <w:abstractNumId w:val="22"/>
  </w:num>
  <w:num w:numId="14">
    <w:abstractNumId w:val="26"/>
  </w:num>
  <w:num w:numId="15">
    <w:abstractNumId w:val="10"/>
  </w:num>
  <w:num w:numId="16">
    <w:abstractNumId w:val="1"/>
  </w:num>
  <w:num w:numId="17">
    <w:abstractNumId w:val="28"/>
  </w:num>
  <w:num w:numId="18">
    <w:abstractNumId w:val="4"/>
  </w:num>
  <w:num w:numId="19">
    <w:abstractNumId w:val="2"/>
  </w:num>
  <w:num w:numId="20">
    <w:abstractNumId w:val="24"/>
  </w:num>
  <w:num w:numId="21">
    <w:abstractNumId w:val="0"/>
  </w:num>
  <w:num w:numId="22">
    <w:abstractNumId w:val="15"/>
  </w:num>
  <w:num w:numId="23">
    <w:abstractNumId w:val="19"/>
  </w:num>
  <w:num w:numId="24">
    <w:abstractNumId w:val="21"/>
  </w:num>
  <w:num w:numId="25">
    <w:abstractNumId w:val="20"/>
  </w:num>
  <w:num w:numId="26">
    <w:abstractNumId w:val="8"/>
  </w:num>
  <w:num w:numId="27">
    <w:abstractNumId w:val="14"/>
  </w:num>
  <w:num w:numId="28">
    <w:abstractNumId w:val="13"/>
  </w:num>
  <w:num w:numId="29">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4D"/>
    <w:rsid w:val="0010090C"/>
    <w:rsid w:val="00127FF6"/>
    <w:rsid w:val="001D10F6"/>
    <w:rsid w:val="002635EF"/>
    <w:rsid w:val="00472F75"/>
    <w:rsid w:val="00486702"/>
    <w:rsid w:val="004937DC"/>
    <w:rsid w:val="004971AC"/>
    <w:rsid w:val="00524460"/>
    <w:rsid w:val="00634211"/>
    <w:rsid w:val="00644BBA"/>
    <w:rsid w:val="006472B2"/>
    <w:rsid w:val="006C371D"/>
    <w:rsid w:val="00746AA0"/>
    <w:rsid w:val="007F5D4D"/>
    <w:rsid w:val="00882C07"/>
    <w:rsid w:val="0096257C"/>
    <w:rsid w:val="00997769"/>
    <w:rsid w:val="009A60CB"/>
    <w:rsid w:val="00A77B63"/>
    <w:rsid w:val="00A84816"/>
    <w:rsid w:val="00D60235"/>
    <w:rsid w:val="00DC6AF8"/>
    <w:rsid w:val="00DE7D9F"/>
    <w:rsid w:val="00F51E7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2A82"/>
  <w15:chartTrackingRefBased/>
  <w15:docId w15:val="{AB7F3D56-CDA3-45E1-A8ED-2B12A00D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44B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644BB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A8481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090C"/>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10090C"/>
  </w:style>
  <w:style w:type="paragraph" w:styleId="a5">
    <w:name w:val="footer"/>
    <w:basedOn w:val="a"/>
    <w:link w:val="a6"/>
    <w:uiPriority w:val="99"/>
    <w:unhideWhenUsed/>
    <w:rsid w:val="0010090C"/>
    <w:pPr>
      <w:tabs>
        <w:tab w:val="center" w:pos="4844"/>
        <w:tab w:val="right" w:pos="9689"/>
      </w:tabs>
      <w:spacing w:after="0" w:line="240" w:lineRule="auto"/>
    </w:pPr>
  </w:style>
  <w:style w:type="character" w:customStyle="1" w:styleId="a6">
    <w:name w:val="Нижний колонтитул Знак"/>
    <w:basedOn w:val="a0"/>
    <w:link w:val="a5"/>
    <w:uiPriority w:val="99"/>
    <w:rsid w:val="0010090C"/>
  </w:style>
  <w:style w:type="table" w:styleId="a7">
    <w:name w:val="Table Grid"/>
    <w:basedOn w:val="a1"/>
    <w:uiPriority w:val="39"/>
    <w:rsid w:val="0010090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0090C"/>
    <w:pPr>
      <w:ind w:left="720"/>
      <w:contextualSpacing/>
    </w:pPr>
  </w:style>
  <w:style w:type="character" w:customStyle="1" w:styleId="10">
    <w:name w:val="Заголовок 1 Знак"/>
    <w:basedOn w:val="a0"/>
    <w:link w:val="1"/>
    <w:uiPriority w:val="9"/>
    <w:rsid w:val="00644BBA"/>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644BBA"/>
    <w:rPr>
      <w:rFonts w:ascii="Times New Roman" w:eastAsia="Times New Roman" w:hAnsi="Times New Roman" w:cs="Times New Roman"/>
      <w:b/>
      <w:bCs/>
      <w:sz w:val="27"/>
      <w:szCs w:val="27"/>
    </w:rPr>
  </w:style>
  <w:style w:type="character" w:styleId="a9">
    <w:name w:val="Hyperlink"/>
    <w:basedOn w:val="a0"/>
    <w:uiPriority w:val="99"/>
    <w:semiHidden/>
    <w:unhideWhenUsed/>
    <w:rsid w:val="00644BBA"/>
    <w:rPr>
      <w:color w:val="0000FF"/>
      <w:u w:val="single"/>
    </w:rPr>
  </w:style>
  <w:style w:type="paragraph" w:styleId="aa">
    <w:name w:val="Normal (Web)"/>
    <w:basedOn w:val="a"/>
    <w:uiPriority w:val="99"/>
    <w:semiHidden/>
    <w:unhideWhenUsed/>
    <w:rsid w:val="00644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A84816"/>
    <w:rPr>
      <w:rFonts w:asciiTheme="majorHAnsi" w:eastAsiaTheme="majorEastAsia" w:hAnsiTheme="majorHAnsi" w:cstheme="majorBidi"/>
      <w:i/>
      <w:iCs/>
      <w:color w:val="2F5496" w:themeColor="accent1" w:themeShade="BF"/>
    </w:rPr>
  </w:style>
  <w:style w:type="character" w:styleId="ab">
    <w:name w:val="Strong"/>
    <w:basedOn w:val="a0"/>
    <w:uiPriority w:val="22"/>
    <w:qFormat/>
    <w:rsid w:val="00746A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458763">
      <w:bodyDiv w:val="1"/>
      <w:marLeft w:val="0"/>
      <w:marRight w:val="0"/>
      <w:marTop w:val="0"/>
      <w:marBottom w:val="0"/>
      <w:divBdr>
        <w:top w:val="none" w:sz="0" w:space="0" w:color="auto"/>
        <w:left w:val="none" w:sz="0" w:space="0" w:color="auto"/>
        <w:bottom w:val="none" w:sz="0" w:space="0" w:color="auto"/>
        <w:right w:val="none" w:sz="0" w:space="0" w:color="auto"/>
      </w:divBdr>
    </w:div>
    <w:div w:id="543565695">
      <w:bodyDiv w:val="1"/>
      <w:marLeft w:val="0"/>
      <w:marRight w:val="0"/>
      <w:marTop w:val="0"/>
      <w:marBottom w:val="0"/>
      <w:divBdr>
        <w:top w:val="none" w:sz="0" w:space="0" w:color="auto"/>
        <w:left w:val="none" w:sz="0" w:space="0" w:color="auto"/>
        <w:bottom w:val="none" w:sz="0" w:space="0" w:color="auto"/>
        <w:right w:val="none" w:sz="0" w:space="0" w:color="auto"/>
      </w:divBdr>
    </w:div>
    <w:div w:id="668947640">
      <w:bodyDiv w:val="1"/>
      <w:marLeft w:val="0"/>
      <w:marRight w:val="0"/>
      <w:marTop w:val="0"/>
      <w:marBottom w:val="0"/>
      <w:divBdr>
        <w:top w:val="none" w:sz="0" w:space="0" w:color="auto"/>
        <w:left w:val="none" w:sz="0" w:space="0" w:color="auto"/>
        <w:bottom w:val="none" w:sz="0" w:space="0" w:color="auto"/>
        <w:right w:val="none" w:sz="0" w:space="0" w:color="auto"/>
      </w:divBdr>
    </w:div>
    <w:div w:id="861821461">
      <w:bodyDiv w:val="1"/>
      <w:marLeft w:val="0"/>
      <w:marRight w:val="0"/>
      <w:marTop w:val="0"/>
      <w:marBottom w:val="0"/>
      <w:divBdr>
        <w:top w:val="none" w:sz="0" w:space="0" w:color="auto"/>
        <w:left w:val="none" w:sz="0" w:space="0" w:color="auto"/>
        <w:bottom w:val="none" w:sz="0" w:space="0" w:color="auto"/>
        <w:right w:val="none" w:sz="0" w:space="0" w:color="auto"/>
      </w:divBdr>
    </w:div>
    <w:div w:id="938562041">
      <w:bodyDiv w:val="1"/>
      <w:marLeft w:val="0"/>
      <w:marRight w:val="0"/>
      <w:marTop w:val="0"/>
      <w:marBottom w:val="0"/>
      <w:divBdr>
        <w:top w:val="none" w:sz="0" w:space="0" w:color="auto"/>
        <w:left w:val="none" w:sz="0" w:space="0" w:color="auto"/>
        <w:bottom w:val="none" w:sz="0" w:space="0" w:color="auto"/>
        <w:right w:val="none" w:sz="0" w:space="0" w:color="auto"/>
      </w:divBdr>
    </w:div>
    <w:div w:id="1274943943">
      <w:bodyDiv w:val="1"/>
      <w:marLeft w:val="0"/>
      <w:marRight w:val="0"/>
      <w:marTop w:val="0"/>
      <w:marBottom w:val="0"/>
      <w:divBdr>
        <w:top w:val="none" w:sz="0" w:space="0" w:color="auto"/>
        <w:left w:val="none" w:sz="0" w:space="0" w:color="auto"/>
        <w:bottom w:val="none" w:sz="0" w:space="0" w:color="auto"/>
        <w:right w:val="none" w:sz="0" w:space="0" w:color="auto"/>
      </w:divBdr>
    </w:div>
    <w:div w:id="1425685674">
      <w:bodyDiv w:val="1"/>
      <w:marLeft w:val="0"/>
      <w:marRight w:val="0"/>
      <w:marTop w:val="0"/>
      <w:marBottom w:val="0"/>
      <w:divBdr>
        <w:top w:val="none" w:sz="0" w:space="0" w:color="auto"/>
        <w:left w:val="none" w:sz="0" w:space="0" w:color="auto"/>
        <w:bottom w:val="none" w:sz="0" w:space="0" w:color="auto"/>
        <w:right w:val="none" w:sz="0" w:space="0" w:color="auto"/>
      </w:divBdr>
    </w:div>
    <w:div w:id="1722248022">
      <w:bodyDiv w:val="1"/>
      <w:marLeft w:val="0"/>
      <w:marRight w:val="0"/>
      <w:marTop w:val="0"/>
      <w:marBottom w:val="0"/>
      <w:divBdr>
        <w:top w:val="none" w:sz="0" w:space="0" w:color="auto"/>
        <w:left w:val="none" w:sz="0" w:space="0" w:color="auto"/>
        <w:bottom w:val="none" w:sz="0" w:space="0" w:color="auto"/>
        <w:right w:val="none" w:sz="0" w:space="0" w:color="auto"/>
      </w:divBdr>
    </w:div>
    <w:div w:id="1737825584">
      <w:bodyDiv w:val="1"/>
      <w:marLeft w:val="0"/>
      <w:marRight w:val="0"/>
      <w:marTop w:val="0"/>
      <w:marBottom w:val="0"/>
      <w:divBdr>
        <w:top w:val="none" w:sz="0" w:space="0" w:color="auto"/>
        <w:left w:val="none" w:sz="0" w:space="0" w:color="auto"/>
        <w:bottom w:val="none" w:sz="0" w:space="0" w:color="auto"/>
        <w:right w:val="none" w:sz="0" w:space="0" w:color="auto"/>
      </w:divBdr>
    </w:div>
    <w:div w:id="202972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enchik.ru/docs/36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cenchik.ru/docs/4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cenchik.ru/docs/41.html" TargetMode="External"/><Relationship Id="rId5" Type="http://schemas.openxmlformats.org/officeDocument/2006/relationships/footnotes" Target="footnotes.xml"/><Relationship Id="rId10" Type="http://schemas.openxmlformats.org/officeDocument/2006/relationships/hyperlink" Target="https://www.ocenchik.ru/docs/39.html" TargetMode="External"/><Relationship Id="rId4" Type="http://schemas.openxmlformats.org/officeDocument/2006/relationships/webSettings" Target="webSettings.xml"/><Relationship Id="rId9" Type="http://schemas.openxmlformats.org/officeDocument/2006/relationships/hyperlink" Target="https://www.ocenchi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3190</Words>
  <Characters>18185</Characters>
  <Application>Microsoft Office Word</Application>
  <DocSecurity>0</DocSecurity>
  <Lines>151</Lines>
  <Paragraphs>42</Paragraphs>
  <ScaleCrop>false</ScaleCrop>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Svyatoslav Vedernikov</dc:creator>
  <cp:keywords/>
  <dc:description/>
  <cp:lastModifiedBy>Svyatoslav Vedernikov</cp:lastModifiedBy>
  <cp:revision>18</cp:revision>
  <dcterms:created xsi:type="dcterms:W3CDTF">2024-01-10T04:31:00Z</dcterms:created>
  <dcterms:modified xsi:type="dcterms:W3CDTF">2024-01-10T05:34:00Z</dcterms:modified>
</cp:coreProperties>
</file>