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6AF8" w:rsidRPr="00E42D0B" w14:paraId="3F0FF5EA" w14:textId="77777777" w:rsidTr="00E2074E">
        <w:tc>
          <w:tcPr>
            <w:tcW w:w="4672" w:type="dxa"/>
          </w:tcPr>
          <w:p w14:paraId="6BD0F8DF" w14:textId="77777777" w:rsidR="00DC6AF8" w:rsidRPr="00E42D0B" w:rsidRDefault="00DC6AF8" w:rsidP="00E2074E">
            <w:pPr>
              <w:rPr>
                <w:rFonts w:cstheme="minorHAnsi"/>
                <w:b/>
              </w:rPr>
            </w:pPr>
            <w:r w:rsidRPr="00E42D0B">
              <w:rPr>
                <w:rFonts w:cstheme="minorHAnsi"/>
                <w:noProof/>
              </w:rPr>
              <w:drawing>
                <wp:inline distT="0" distB="0" distL="0" distR="0" wp14:anchorId="6259FAB8" wp14:editId="30F44BCC">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AE876DA" w14:textId="77777777" w:rsidR="00DC6AF8" w:rsidRPr="00E42D0B" w:rsidRDefault="00DC6AF8" w:rsidP="00E2074E">
            <w:pPr>
              <w:ind w:right="91"/>
              <w:jc w:val="right"/>
              <w:rPr>
                <w:rFonts w:eastAsia="Times New Roman" w:cstheme="minorHAnsi"/>
                <w:b/>
              </w:rPr>
            </w:pPr>
            <w:r w:rsidRPr="00E42D0B">
              <w:rPr>
                <w:rFonts w:eastAsia="Times New Roman" w:cstheme="minorHAnsi"/>
                <w:b/>
              </w:rPr>
              <w:t>ООО «</w:t>
            </w:r>
            <w:proofErr w:type="spellStart"/>
            <w:r w:rsidRPr="00E42D0B">
              <w:rPr>
                <w:rFonts w:eastAsia="Times New Roman" w:cstheme="minorHAnsi"/>
                <w:b/>
              </w:rPr>
              <w:t>Прайском</w:t>
            </w:r>
            <w:proofErr w:type="spellEnd"/>
            <w:r w:rsidRPr="00E42D0B">
              <w:rPr>
                <w:rFonts w:eastAsia="Times New Roman" w:cstheme="minorHAnsi"/>
                <w:b/>
              </w:rPr>
              <w:t>»</w:t>
            </w:r>
          </w:p>
          <w:p w14:paraId="53245C24" w14:textId="77777777" w:rsidR="00DC6AF8" w:rsidRPr="00E42D0B" w:rsidRDefault="00DC6AF8" w:rsidP="00E2074E">
            <w:pPr>
              <w:ind w:right="91"/>
              <w:jc w:val="right"/>
              <w:rPr>
                <w:rFonts w:eastAsia="Times New Roman" w:cstheme="minorHAnsi"/>
              </w:rPr>
            </w:pPr>
            <w:r w:rsidRPr="00E42D0B">
              <w:rPr>
                <w:rFonts w:eastAsia="Times New Roman" w:cstheme="minorHAnsi"/>
              </w:rPr>
              <w:t>ИНН 5906174968</w:t>
            </w:r>
          </w:p>
          <w:p w14:paraId="34EFADD7" w14:textId="77777777" w:rsidR="00DC6AF8" w:rsidRPr="00E42D0B" w:rsidRDefault="00DC6AF8" w:rsidP="00E2074E">
            <w:pPr>
              <w:ind w:right="91"/>
              <w:jc w:val="right"/>
              <w:rPr>
                <w:rFonts w:eastAsia="Times New Roman" w:cstheme="minorHAnsi"/>
              </w:rPr>
            </w:pPr>
            <w:r w:rsidRPr="00E42D0B">
              <w:rPr>
                <w:rFonts w:eastAsia="Times New Roman" w:cstheme="minorHAnsi"/>
              </w:rPr>
              <w:t>КПП 590601001</w:t>
            </w:r>
          </w:p>
          <w:p w14:paraId="69ECE5FF" w14:textId="77777777" w:rsidR="00DC6AF8" w:rsidRPr="00E42D0B" w:rsidRDefault="00DC6AF8" w:rsidP="00E2074E">
            <w:pPr>
              <w:ind w:right="91"/>
              <w:jc w:val="right"/>
              <w:rPr>
                <w:rFonts w:eastAsia="Times New Roman" w:cstheme="minorHAnsi"/>
              </w:rPr>
            </w:pPr>
            <w:r w:rsidRPr="00E42D0B">
              <w:rPr>
                <w:rFonts w:eastAsia="Times New Roman" w:cstheme="minorHAnsi"/>
              </w:rPr>
              <w:t>Адрес: Россия, Пермский край, г. Пермь, ул. Максима Горького, д. 34, офис.404.</w:t>
            </w:r>
          </w:p>
          <w:p w14:paraId="4040601F" w14:textId="77777777" w:rsidR="00DC6AF8" w:rsidRPr="00E42D0B" w:rsidRDefault="00DC6AF8" w:rsidP="00E2074E">
            <w:pPr>
              <w:ind w:right="91"/>
              <w:jc w:val="right"/>
              <w:rPr>
                <w:rFonts w:eastAsia="Times New Roman" w:cstheme="minorHAnsi"/>
              </w:rPr>
            </w:pPr>
            <w:r w:rsidRPr="00E42D0B">
              <w:rPr>
                <w:rFonts w:eastAsia="Times New Roman" w:cstheme="minorHAnsi"/>
              </w:rPr>
              <w:t>Тел. +7 (992) 221‒91‒28</w:t>
            </w:r>
          </w:p>
          <w:p w14:paraId="00B4621A" w14:textId="77777777" w:rsidR="00DC6AF8" w:rsidRPr="00E42D0B" w:rsidRDefault="00DC6AF8" w:rsidP="00E2074E">
            <w:pPr>
              <w:ind w:right="91"/>
              <w:jc w:val="right"/>
              <w:rPr>
                <w:rFonts w:eastAsia="Times New Roman" w:cstheme="minorHAnsi"/>
              </w:rPr>
            </w:pPr>
            <w:proofErr w:type="spellStart"/>
            <w:r w:rsidRPr="00E42D0B">
              <w:rPr>
                <w:rFonts w:eastAsia="Times New Roman" w:cstheme="minorHAnsi"/>
              </w:rPr>
              <w:t>Email</w:t>
            </w:r>
            <w:proofErr w:type="spellEnd"/>
            <w:r w:rsidRPr="00E42D0B">
              <w:rPr>
                <w:rFonts w:eastAsia="Times New Roman" w:cstheme="minorHAnsi"/>
              </w:rPr>
              <w:t xml:space="preserve">: infopricecom@yandex.ru </w:t>
            </w:r>
          </w:p>
          <w:p w14:paraId="232434F2" w14:textId="77777777" w:rsidR="00DC6AF8" w:rsidRPr="00E42D0B" w:rsidRDefault="00DC6AF8" w:rsidP="00E2074E">
            <w:pPr>
              <w:jc w:val="center"/>
              <w:rPr>
                <w:rFonts w:cstheme="minorHAnsi"/>
                <w:b/>
              </w:rPr>
            </w:pPr>
          </w:p>
        </w:tc>
      </w:tr>
    </w:tbl>
    <w:p w14:paraId="5B022038" w14:textId="77777777" w:rsidR="00E42D0B" w:rsidRPr="00E42D0B" w:rsidRDefault="00E42D0B" w:rsidP="00E42D0B">
      <w:pPr>
        <w:pStyle w:val="1"/>
        <w:shd w:val="clear" w:color="auto" w:fill="FFFFFF"/>
        <w:spacing w:before="150" w:beforeAutospacing="0" w:after="320" w:afterAutospacing="0"/>
        <w:jc w:val="center"/>
        <w:rPr>
          <w:rFonts w:asciiTheme="minorHAnsi" w:hAnsiTheme="minorHAnsi" w:cstheme="minorHAnsi"/>
          <w:color w:val="014783"/>
          <w:sz w:val="22"/>
          <w:szCs w:val="22"/>
        </w:rPr>
      </w:pPr>
      <w:r w:rsidRPr="00E42D0B">
        <w:rPr>
          <w:rFonts w:asciiTheme="minorHAnsi" w:hAnsiTheme="minorHAnsi" w:cstheme="minorHAnsi"/>
          <w:color w:val="014783"/>
          <w:sz w:val="22"/>
          <w:szCs w:val="22"/>
        </w:rPr>
        <w:t>П Р И К А З</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E42D0B" w:rsidRPr="00E42D0B" w14:paraId="17C08EC7" w14:textId="77777777" w:rsidTr="00E42D0B">
        <w:trPr>
          <w:tblCellSpacing w:w="0" w:type="dxa"/>
        </w:trPr>
        <w:tc>
          <w:tcPr>
            <w:tcW w:w="2500" w:type="pct"/>
            <w:shd w:val="clear" w:color="auto" w:fill="FFFFFF"/>
            <w:vAlign w:val="center"/>
            <w:hideMark/>
          </w:tcPr>
          <w:p w14:paraId="7B9ADF9A" w14:textId="77777777" w:rsidR="00E42D0B" w:rsidRPr="00E42D0B" w:rsidRDefault="00E42D0B">
            <w:pPr>
              <w:rPr>
                <w:rFonts w:cstheme="minorHAnsi"/>
                <w:color w:val="000000"/>
              </w:rPr>
            </w:pPr>
            <w:r w:rsidRPr="00E42D0B">
              <w:rPr>
                <w:rFonts w:cstheme="minorHAnsi"/>
                <w:color w:val="000000"/>
              </w:rPr>
              <w:t xml:space="preserve">01 </w:t>
            </w:r>
            <w:proofErr w:type="spellStart"/>
            <w:r w:rsidRPr="00E42D0B">
              <w:rPr>
                <w:rFonts w:cstheme="minorHAnsi"/>
                <w:color w:val="000000"/>
              </w:rPr>
              <w:t>июня</w:t>
            </w:r>
            <w:proofErr w:type="spellEnd"/>
            <w:r w:rsidRPr="00E42D0B">
              <w:rPr>
                <w:rFonts w:cstheme="minorHAnsi"/>
                <w:color w:val="000000"/>
              </w:rPr>
              <w:t xml:space="preserve"> 2015 </w:t>
            </w:r>
            <w:proofErr w:type="spellStart"/>
            <w:r w:rsidRPr="00E42D0B">
              <w:rPr>
                <w:rFonts w:cstheme="minorHAnsi"/>
                <w:color w:val="000000"/>
              </w:rPr>
              <w:t>года</w:t>
            </w:r>
            <w:proofErr w:type="spellEnd"/>
          </w:p>
        </w:tc>
        <w:tc>
          <w:tcPr>
            <w:tcW w:w="2500" w:type="pct"/>
            <w:shd w:val="clear" w:color="auto" w:fill="FFFFFF"/>
            <w:vAlign w:val="center"/>
            <w:hideMark/>
          </w:tcPr>
          <w:p w14:paraId="7F812049" w14:textId="77777777" w:rsidR="00E42D0B" w:rsidRPr="00E42D0B" w:rsidRDefault="00E42D0B">
            <w:pPr>
              <w:jc w:val="right"/>
              <w:rPr>
                <w:rFonts w:cstheme="minorHAnsi"/>
                <w:color w:val="000000"/>
              </w:rPr>
            </w:pPr>
            <w:r w:rsidRPr="00E42D0B">
              <w:rPr>
                <w:rFonts w:cstheme="minorHAnsi"/>
                <w:color w:val="000000"/>
              </w:rPr>
              <w:t>N 327</w:t>
            </w:r>
          </w:p>
        </w:tc>
      </w:tr>
    </w:tbl>
    <w:p w14:paraId="51321E51" w14:textId="77777777" w:rsidR="00E42D0B" w:rsidRPr="00E42D0B" w:rsidRDefault="00E42D0B" w:rsidP="00E42D0B">
      <w:pPr>
        <w:pStyle w:val="1"/>
        <w:shd w:val="clear" w:color="auto" w:fill="FFFFFF"/>
        <w:spacing w:before="150" w:beforeAutospacing="0" w:after="320" w:afterAutospacing="0"/>
        <w:jc w:val="center"/>
        <w:rPr>
          <w:rFonts w:asciiTheme="minorHAnsi" w:hAnsiTheme="minorHAnsi" w:cstheme="minorHAnsi"/>
          <w:color w:val="014783"/>
          <w:sz w:val="22"/>
          <w:szCs w:val="22"/>
          <w:lang w:val="ru-RU"/>
        </w:rPr>
      </w:pPr>
      <w:r w:rsidRPr="00E42D0B">
        <w:rPr>
          <w:rFonts w:asciiTheme="minorHAnsi" w:hAnsiTheme="minorHAnsi" w:cstheme="minorHAnsi"/>
          <w:color w:val="014783"/>
          <w:sz w:val="22"/>
          <w:szCs w:val="22"/>
          <w:lang w:val="ru-RU"/>
        </w:rPr>
        <w:t xml:space="preserve">Об утверждении федерального стандарта оценки "Оценка для целей залога (ФСО </w:t>
      </w:r>
      <w:r w:rsidRPr="00E42D0B">
        <w:rPr>
          <w:rFonts w:asciiTheme="minorHAnsi" w:hAnsiTheme="minorHAnsi" w:cstheme="minorHAnsi"/>
          <w:color w:val="014783"/>
          <w:sz w:val="22"/>
          <w:szCs w:val="22"/>
        </w:rPr>
        <w:t>N</w:t>
      </w:r>
      <w:r w:rsidRPr="00E42D0B">
        <w:rPr>
          <w:rFonts w:asciiTheme="minorHAnsi" w:hAnsiTheme="minorHAnsi" w:cstheme="minorHAnsi"/>
          <w:color w:val="014783"/>
          <w:sz w:val="22"/>
          <w:szCs w:val="22"/>
          <w:lang w:val="ru-RU"/>
        </w:rPr>
        <w:t xml:space="preserve"> 9)</w:t>
      </w:r>
    </w:p>
    <w:p w14:paraId="0AC1E1D8"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В соответствии со статьей 20 Федерального закона от 29 июля 1998 г.</w:t>
      </w:r>
      <w:r w:rsidRPr="00E42D0B">
        <w:rPr>
          <w:rFonts w:asciiTheme="minorHAnsi" w:hAnsiTheme="minorHAnsi" w:cstheme="minorHAnsi"/>
          <w:color w:val="000000"/>
          <w:sz w:val="22"/>
          <w:szCs w:val="22"/>
        </w:rPr>
        <w:t> </w:t>
      </w:r>
      <w:hyperlink r:id="rId8" w:history="1">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135-ФЗ "Об оценочной деятельности в Российской Федерации"</w:t>
        </w:r>
      </w:hyperlink>
      <w:r w:rsidRPr="00E42D0B">
        <w:rPr>
          <w:rFonts w:asciiTheme="minorHAnsi" w:hAnsiTheme="minorHAnsi" w:cstheme="minorHAnsi"/>
          <w:color w:val="000000"/>
          <w:sz w:val="22"/>
          <w:szCs w:val="22"/>
        </w:rPr>
        <w:t> </w:t>
      </w:r>
      <w:r w:rsidRPr="00E42D0B">
        <w:rPr>
          <w:rFonts w:asciiTheme="minorHAnsi" w:hAnsiTheme="minorHAnsi" w:cstheme="minorHAnsi"/>
          <w:color w:val="000000"/>
          <w:sz w:val="22"/>
          <w:szCs w:val="22"/>
          <w:lang w:val="ru-RU"/>
        </w:rPr>
        <w:t xml:space="preserve">(Собрание законодательства Российской Федерации, 1998,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31, ст. 3813; 2006,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31, ст. 3456; 2010,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30, ст. 3998; 2011,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1, ст. 43;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29, ст. 4291; 2014,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30, ст. 4226) приказываю:</w:t>
      </w:r>
    </w:p>
    <w:p w14:paraId="4B01DBD5"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 xml:space="preserve">1. Утвердить прилагаемый Федеральный стандарт оценки "Оценка для целей залога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9)".</w:t>
      </w:r>
    </w:p>
    <w:p w14:paraId="215B5558"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2. Настоящий приказ вступает в силу со дня вступления в силу</w:t>
      </w:r>
      <w:r w:rsidRPr="00E42D0B">
        <w:rPr>
          <w:rFonts w:asciiTheme="minorHAnsi" w:hAnsiTheme="minorHAnsi" w:cstheme="minorHAnsi"/>
          <w:color w:val="000000"/>
          <w:sz w:val="22"/>
          <w:szCs w:val="22"/>
        </w:rPr>
        <w:t> </w:t>
      </w:r>
      <w:hyperlink r:id="rId9" w:history="1">
        <w:r w:rsidRPr="00E42D0B">
          <w:rPr>
            <w:rStyle w:val="a9"/>
            <w:rFonts w:asciiTheme="minorHAnsi" w:hAnsiTheme="minorHAnsi" w:cstheme="minorHAnsi"/>
            <w:sz w:val="22"/>
            <w:szCs w:val="22"/>
            <w:lang w:val="ru-RU"/>
          </w:rPr>
          <w:t>приказов Минэкономразвития России</w:t>
        </w:r>
      </w:hyperlink>
      <w:r w:rsidRPr="00E42D0B">
        <w:rPr>
          <w:rFonts w:asciiTheme="minorHAnsi" w:hAnsiTheme="minorHAnsi" w:cstheme="minorHAnsi"/>
          <w:color w:val="000000"/>
          <w:sz w:val="22"/>
          <w:szCs w:val="22"/>
        </w:rPr>
        <w:t> </w:t>
      </w:r>
      <w:r w:rsidRPr="00E42D0B">
        <w:rPr>
          <w:rFonts w:asciiTheme="minorHAnsi" w:hAnsiTheme="minorHAnsi" w:cstheme="minorHAnsi"/>
          <w:color w:val="000000"/>
          <w:sz w:val="22"/>
          <w:szCs w:val="22"/>
          <w:lang w:val="ru-RU"/>
        </w:rPr>
        <w:t xml:space="preserve">от 20 мая 2015 г.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297 "Об утверждении Федерального стандарта оценки "Общие понятия оценки, подходы и требования к проведению оценки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1)", от 20 мая 2015 г.</w:t>
      </w:r>
      <w:r w:rsidRPr="00E42D0B">
        <w:rPr>
          <w:rFonts w:asciiTheme="minorHAnsi" w:hAnsiTheme="minorHAnsi" w:cstheme="minorHAnsi"/>
          <w:color w:val="000000"/>
          <w:sz w:val="22"/>
          <w:szCs w:val="22"/>
        </w:rPr>
        <w:t> </w:t>
      </w:r>
      <w:hyperlink r:id="rId10" w:history="1">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298 "Об утверждении Федерального стандарта оценки "Цель оценки и виды стоимости (ФСО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2)"</w:t>
        </w:r>
      </w:hyperlink>
      <w:r w:rsidRPr="00E42D0B">
        <w:rPr>
          <w:rFonts w:asciiTheme="minorHAnsi" w:hAnsiTheme="minorHAnsi" w:cstheme="minorHAnsi"/>
          <w:color w:val="000000"/>
          <w:sz w:val="22"/>
          <w:szCs w:val="22"/>
          <w:lang w:val="ru-RU"/>
        </w:rPr>
        <w:t xml:space="preserve">, от 20 мая 2015 г.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299 "Об утверждении Федерального стандарта оценки "Требования к отчету об оценке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w:t>
      </w:r>
    </w:p>
    <w:p w14:paraId="47E5D813"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Министр</w:t>
      </w:r>
      <w:bookmarkStart w:id="0" w:name="_GoBack"/>
      <w:bookmarkEnd w:id="0"/>
      <w:r w:rsidRPr="00E42D0B">
        <w:rPr>
          <w:rFonts w:asciiTheme="minorHAnsi" w:hAnsiTheme="minorHAnsi" w:cstheme="minorHAnsi"/>
          <w:color w:val="000000"/>
          <w:sz w:val="22"/>
          <w:szCs w:val="22"/>
          <w:lang w:val="ru-RU"/>
        </w:rPr>
        <w:br/>
        <w:t>А.В.УЛЮКАЕВ</w:t>
      </w:r>
    </w:p>
    <w:p w14:paraId="579F3934" w14:textId="77777777" w:rsidR="00E42D0B" w:rsidRPr="00E42D0B" w:rsidRDefault="00E42D0B" w:rsidP="00E42D0B">
      <w:pPr>
        <w:pStyle w:val="aa"/>
        <w:shd w:val="clear" w:color="auto" w:fill="FFFFFF"/>
        <w:spacing w:line="280" w:lineRule="atLeast"/>
        <w:jc w:val="right"/>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Утвержден приказом Минэкономразвития России</w:t>
      </w:r>
      <w:r w:rsidRPr="00E42D0B">
        <w:rPr>
          <w:rFonts w:asciiTheme="minorHAnsi" w:hAnsiTheme="minorHAnsi" w:cstheme="minorHAnsi"/>
          <w:color w:val="000000"/>
          <w:sz w:val="22"/>
          <w:szCs w:val="22"/>
          <w:lang w:val="ru-RU"/>
        </w:rPr>
        <w:br/>
        <w:t xml:space="preserve">от 1 июня 2015 г.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327</w:t>
      </w:r>
    </w:p>
    <w:p w14:paraId="126253BD" w14:textId="77777777" w:rsidR="00E42D0B" w:rsidRPr="00E42D0B" w:rsidRDefault="00E42D0B" w:rsidP="00E42D0B">
      <w:pPr>
        <w:pStyle w:val="2"/>
        <w:shd w:val="clear" w:color="auto" w:fill="FFFFFF"/>
        <w:spacing w:before="0" w:after="180"/>
        <w:jc w:val="center"/>
        <w:rPr>
          <w:rFonts w:asciiTheme="minorHAnsi" w:hAnsiTheme="minorHAnsi" w:cstheme="minorHAnsi"/>
          <w:color w:val="014783"/>
          <w:sz w:val="22"/>
          <w:szCs w:val="22"/>
          <w:lang w:val="ru-RU"/>
        </w:rPr>
      </w:pPr>
      <w:r w:rsidRPr="00E42D0B">
        <w:rPr>
          <w:rFonts w:asciiTheme="minorHAnsi" w:hAnsiTheme="minorHAnsi" w:cstheme="minorHAnsi"/>
          <w:color w:val="014783"/>
          <w:sz w:val="22"/>
          <w:szCs w:val="22"/>
          <w:lang w:val="ru-RU"/>
        </w:rPr>
        <w:t>ФЕДЕРАЛЬНЫЙ СТАНДАРТ</w:t>
      </w:r>
      <w:r w:rsidRPr="00E42D0B">
        <w:rPr>
          <w:rFonts w:asciiTheme="minorHAnsi" w:hAnsiTheme="minorHAnsi" w:cstheme="minorHAnsi"/>
          <w:color w:val="014783"/>
          <w:sz w:val="22"/>
          <w:szCs w:val="22"/>
          <w:lang w:val="ru-RU"/>
        </w:rPr>
        <w:br/>
        <w:t xml:space="preserve">ОЦЕНКИ "ОЦЕНКА ДЛЯ ЦЕЛЕЙ ЗАЛОГА (ФСО </w:t>
      </w:r>
      <w:r w:rsidRPr="00E42D0B">
        <w:rPr>
          <w:rFonts w:asciiTheme="minorHAnsi" w:hAnsiTheme="minorHAnsi" w:cstheme="minorHAnsi"/>
          <w:color w:val="014783"/>
          <w:sz w:val="22"/>
          <w:szCs w:val="22"/>
        </w:rPr>
        <w:t>N</w:t>
      </w:r>
      <w:r w:rsidRPr="00E42D0B">
        <w:rPr>
          <w:rFonts w:asciiTheme="minorHAnsi" w:hAnsiTheme="minorHAnsi" w:cstheme="minorHAnsi"/>
          <w:color w:val="014783"/>
          <w:sz w:val="22"/>
          <w:szCs w:val="22"/>
          <w:lang w:val="ru-RU"/>
        </w:rPr>
        <w:t xml:space="preserve"> 9)"</w:t>
      </w:r>
    </w:p>
    <w:p w14:paraId="613336F3" w14:textId="77777777" w:rsidR="00E42D0B" w:rsidRPr="00E42D0B" w:rsidRDefault="00E42D0B" w:rsidP="00E42D0B">
      <w:pPr>
        <w:pStyle w:val="aa"/>
        <w:shd w:val="clear" w:color="auto" w:fill="FFFFFF"/>
        <w:spacing w:line="280" w:lineRule="atLeast"/>
        <w:jc w:val="center"/>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rPr>
        <w:t>I</w:t>
      </w:r>
      <w:r w:rsidRPr="00E42D0B">
        <w:rPr>
          <w:rFonts w:asciiTheme="minorHAnsi" w:hAnsiTheme="minorHAnsi" w:cstheme="minorHAnsi"/>
          <w:color w:val="000000"/>
          <w:sz w:val="22"/>
          <w:szCs w:val="22"/>
          <w:lang w:val="ru-RU"/>
        </w:rPr>
        <w:t>. Общие положения</w:t>
      </w:r>
    </w:p>
    <w:p w14:paraId="04CFF873"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 Настоящий Федеральный стандарт оценки разработан с учетом международных стандартов оценки и федеральных стандартов оценки "Общие понятия оценки, подходы и требования к проведению оценки</w:t>
      </w:r>
      <w:r w:rsidRPr="00E42D0B">
        <w:rPr>
          <w:rFonts w:asciiTheme="minorHAnsi" w:hAnsiTheme="minorHAnsi" w:cstheme="minorHAnsi"/>
          <w:color w:val="000000"/>
          <w:sz w:val="22"/>
          <w:szCs w:val="22"/>
        </w:rPr>
        <w:t> </w:t>
      </w:r>
      <w:hyperlink r:id="rId11"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1)</w:t>
        </w:r>
      </w:hyperlink>
      <w:r w:rsidRPr="00E42D0B">
        <w:rPr>
          <w:rFonts w:asciiTheme="minorHAnsi" w:hAnsiTheme="minorHAnsi" w:cstheme="minorHAnsi"/>
          <w:color w:val="000000"/>
          <w:sz w:val="22"/>
          <w:szCs w:val="22"/>
          <w:lang w:val="ru-RU"/>
        </w:rPr>
        <w:t>", "Цель оценки и виды стоимости</w:t>
      </w:r>
      <w:r w:rsidRPr="00E42D0B">
        <w:rPr>
          <w:rFonts w:asciiTheme="minorHAnsi" w:hAnsiTheme="minorHAnsi" w:cstheme="minorHAnsi"/>
          <w:color w:val="000000"/>
          <w:sz w:val="22"/>
          <w:szCs w:val="22"/>
        </w:rPr>
        <w:t> </w:t>
      </w:r>
      <w:hyperlink r:id="rId12"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2)</w:t>
        </w:r>
      </w:hyperlink>
      <w:r w:rsidRPr="00E42D0B">
        <w:rPr>
          <w:rFonts w:asciiTheme="minorHAnsi" w:hAnsiTheme="minorHAnsi" w:cstheme="minorHAnsi"/>
          <w:color w:val="000000"/>
          <w:sz w:val="22"/>
          <w:szCs w:val="22"/>
          <w:lang w:val="ru-RU"/>
        </w:rPr>
        <w:t>", "Требования к отчету об оценке</w:t>
      </w:r>
      <w:r w:rsidRPr="00E42D0B">
        <w:rPr>
          <w:rFonts w:asciiTheme="minorHAnsi" w:hAnsiTheme="minorHAnsi" w:cstheme="minorHAnsi"/>
          <w:color w:val="000000"/>
          <w:sz w:val="22"/>
          <w:szCs w:val="22"/>
        </w:rPr>
        <w:t> </w:t>
      </w:r>
      <w:hyperlink r:id="rId13"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3)</w:t>
        </w:r>
      </w:hyperlink>
      <w:r w:rsidRPr="00E42D0B">
        <w:rPr>
          <w:rFonts w:asciiTheme="minorHAnsi" w:hAnsiTheme="minorHAnsi" w:cstheme="minorHAnsi"/>
          <w:color w:val="000000"/>
          <w:sz w:val="22"/>
          <w:szCs w:val="22"/>
          <w:lang w:val="ru-RU"/>
        </w:rPr>
        <w:t xml:space="preserve">" (далее соответственно -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1,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2,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 иных федеральных стандартов оценки, регулирующих оценку отдельных видов объектов оценки, утвержденных Минэкономразвития России, и определяет требования к проведению оценки объекта (далее также - имущество), являющегося предметом залога или планируемого к передаче в качестве обеспечения в виде залога по предполагаемым или существующим денежным обязательствам (далее - цели залога).</w:t>
      </w:r>
    </w:p>
    <w:p w14:paraId="397B0408"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2. Настоящий Федеральный стандарт оценки является обязательным к применению при оценке объектов оценки для целей залога, включая оценку для целей ипотечного кредитования. Настоящий Федеральный стандарт оценки развивает, дополняет и конкретизирует при оценке для целей залога требования, установленные</w:t>
      </w:r>
      <w:r w:rsidRPr="00E42D0B">
        <w:rPr>
          <w:rFonts w:asciiTheme="minorHAnsi" w:hAnsiTheme="minorHAnsi" w:cstheme="minorHAnsi"/>
          <w:color w:val="000000"/>
          <w:sz w:val="22"/>
          <w:szCs w:val="22"/>
        </w:rPr>
        <w:t> </w:t>
      </w:r>
      <w:hyperlink r:id="rId14"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1</w:t>
        </w:r>
      </w:hyperlink>
      <w:r w:rsidRPr="00E42D0B">
        <w:rPr>
          <w:rFonts w:asciiTheme="minorHAnsi" w:hAnsiTheme="minorHAnsi" w:cstheme="minorHAnsi"/>
          <w:color w:val="000000"/>
          <w:sz w:val="22"/>
          <w:szCs w:val="22"/>
          <w:lang w:val="ru-RU"/>
        </w:rPr>
        <w:t>,</w:t>
      </w:r>
      <w:r w:rsidRPr="00E42D0B">
        <w:rPr>
          <w:rFonts w:asciiTheme="minorHAnsi" w:hAnsiTheme="minorHAnsi" w:cstheme="minorHAnsi"/>
          <w:color w:val="000000"/>
          <w:sz w:val="22"/>
          <w:szCs w:val="22"/>
        </w:rPr>
        <w:t> </w:t>
      </w:r>
      <w:hyperlink r:id="rId15"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2</w:t>
        </w:r>
      </w:hyperlink>
      <w:r w:rsidRPr="00E42D0B">
        <w:rPr>
          <w:rFonts w:asciiTheme="minorHAnsi" w:hAnsiTheme="minorHAnsi" w:cstheme="minorHAnsi"/>
          <w:color w:val="000000"/>
          <w:sz w:val="22"/>
          <w:szCs w:val="22"/>
          <w:lang w:val="ru-RU"/>
        </w:rPr>
        <w:t>,</w:t>
      </w:r>
      <w:r w:rsidRPr="00E42D0B">
        <w:rPr>
          <w:rFonts w:asciiTheme="minorHAnsi" w:hAnsiTheme="minorHAnsi" w:cstheme="minorHAnsi"/>
          <w:color w:val="000000"/>
          <w:sz w:val="22"/>
          <w:szCs w:val="22"/>
        </w:rPr>
        <w:t> </w:t>
      </w:r>
      <w:hyperlink r:id="rId16"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3</w:t>
        </w:r>
      </w:hyperlink>
      <w:r w:rsidRPr="00E42D0B">
        <w:rPr>
          <w:rFonts w:asciiTheme="minorHAnsi" w:hAnsiTheme="minorHAnsi" w:cstheme="minorHAnsi"/>
          <w:color w:val="000000"/>
          <w:sz w:val="22"/>
          <w:szCs w:val="22"/>
          <w:lang w:val="ru-RU"/>
        </w:rPr>
        <w:t xml:space="preserve">, иными федеральными </w:t>
      </w:r>
      <w:r w:rsidRPr="00E42D0B">
        <w:rPr>
          <w:rFonts w:asciiTheme="minorHAnsi" w:hAnsiTheme="minorHAnsi" w:cstheme="minorHAnsi"/>
          <w:color w:val="000000"/>
          <w:sz w:val="22"/>
          <w:szCs w:val="22"/>
          <w:lang w:val="ru-RU"/>
        </w:rPr>
        <w:lastRenderedPageBreak/>
        <w:t>стандартами оценки, регулирующими оценку отдельных видов объектов оценки, утвержденными Минэкономразвития России.</w:t>
      </w:r>
    </w:p>
    <w:p w14:paraId="3F567FD9" w14:textId="77777777" w:rsidR="00E42D0B" w:rsidRPr="00E42D0B" w:rsidRDefault="00E42D0B" w:rsidP="00E42D0B">
      <w:pPr>
        <w:pStyle w:val="aa"/>
        <w:shd w:val="clear" w:color="auto" w:fill="FFFFFF"/>
        <w:spacing w:line="280" w:lineRule="atLeast"/>
        <w:jc w:val="center"/>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rPr>
        <w:t>II</w:t>
      </w:r>
      <w:r w:rsidRPr="00E42D0B">
        <w:rPr>
          <w:rFonts w:asciiTheme="minorHAnsi" w:hAnsiTheme="minorHAnsi" w:cstheme="minorHAnsi"/>
          <w:color w:val="000000"/>
          <w:sz w:val="22"/>
          <w:szCs w:val="22"/>
          <w:lang w:val="ru-RU"/>
        </w:rPr>
        <w:t>. Объект оценки</w:t>
      </w:r>
    </w:p>
    <w:p w14:paraId="7473729C"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3. Для целей настоящего Федерального стандарта оценки под объектом оценки понимаются объекты гражданских прав, в отношении которых законодательством Российской Федерации установлена возможность их участия в гражданском обороте и залог которых не запрещен действующим законодательством Российской Федерации.</w:t>
      </w:r>
    </w:p>
    <w:p w14:paraId="0C00AF27" w14:textId="77777777" w:rsidR="00E42D0B" w:rsidRPr="00E42D0B" w:rsidRDefault="00E42D0B" w:rsidP="00E42D0B">
      <w:pPr>
        <w:pStyle w:val="aa"/>
        <w:shd w:val="clear" w:color="auto" w:fill="FFFFFF"/>
        <w:spacing w:line="280" w:lineRule="atLeast"/>
        <w:jc w:val="center"/>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rPr>
        <w:t>III</w:t>
      </w:r>
      <w:r w:rsidRPr="00E42D0B">
        <w:rPr>
          <w:rFonts w:asciiTheme="minorHAnsi" w:hAnsiTheme="minorHAnsi" w:cstheme="minorHAnsi"/>
          <w:color w:val="000000"/>
          <w:sz w:val="22"/>
          <w:szCs w:val="22"/>
          <w:lang w:val="ru-RU"/>
        </w:rPr>
        <w:t>. Общие требования к проведению оценки для целей залога</w:t>
      </w:r>
    </w:p>
    <w:p w14:paraId="114C34FA"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4. При заключении договора на проведение оценки для целей залога (далее - договор) заказчик может проинформировать оценщика о существующем или потенциальном залогодержателе. 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w:t>
      </w:r>
    </w:p>
    <w:p w14:paraId="33990B13"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Оценщик учитывает данные специальные требования залогодержателя, если это оговаривается в задании на оценку.</w:t>
      </w:r>
    </w:p>
    <w:p w14:paraId="114AB0D8"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5. Для целей настоящего Федерального стандарта оценки при определении стоимости в целях залога определяется рыночная стоимость. При наличии соответствующих требований в задании на оценку в дополнение к рыночной стоимости могут определяться инвестиционная и (или) ликвидационная стоимости.</w:t>
      </w:r>
    </w:p>
    <w:p w14:paraId="796F193E"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6. При оценке имущества, связанного общим функциональным назначением (далее - комплекс имущества), необходимо проведение анализа возможности независимого функционирования и реализации имущества отдельно от иных активов, входящих в состав комплекса имущества.</w:t>
      </w:r>
    </w:p>
    <w:p w14:paraId="36286A5E"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7. При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 оценку. 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
    <w:p w14:paraId="478561F4"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 xml:space="preserve">8. Отчет об оценке должен содержать следующие дополнительные к указанным в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3 результаты:</w:t>
      </w:r>
    </w:p>
    <w:p w14:paraId="630BA442" w14:textId="77777777" w:rsidR="00E42D0B" w:rsidRPr="00E42D0B" w:rsidRDefault="00E42D0B" w:rsidP="00E42D0B">
      <w:pPr>
        <w:numPr>
          <w:ilvl w:val="0"/>
          <w:numId w:val="31"/>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стоимость (стоимости) объекта оценки в соответствии с видами стоимости, предусмотренными пунктом 5 настоящего Федерального стандарта оценки;</w:t>
      </w:r>
    </w:p>
    <w:p w14:paraId="50A950EA" w14:textId="77777777" w:rsidR="00E42D0B" w:rsidRPr="00E42D0B" w:rsidRDefault="00E42D0B" w:rsidP="00E42D0B">
      <w:pPr>
        <w:numPr>
          <w:ilvl w:val="0"/>
          <w:numId w:val="31"/>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иные расчетные величины, выводы и рекомендации, подготовленные оценщиком в соответствии с заданием на оценку.</w:t>
      </w:r>
    </w:p>
    <w:p w14:paraId="0A921227"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Выводы о ликвидности объекта оценки в обязательном порядке указываются в отчете, но не рассматриваются как результат оценки.</w:t>
      </w:r>
    </w:p>
    <w:p w14:paraId="20CF2049"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lastRenderedPageBreak/>
        <w:t>9. В качестве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Данное допущение указывается в задании на оценку и отчете об оценке.</w:t>
      </w:r>
    </w:p>
    <w:p w14:paraId="45165A40"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p w14:paraId="059118E7"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10. Задание на оценку должно содержать следующую, дополнительную к указанной в</w:t>
      </w:r>
      <w:r w:rsidRPr="00E42D0B">
        <w:rPr>
          <w:rFonts w:asciiTheme="minorHAnsi" w:hAnsiTheme="minorHAnsi" w:cstheme="minorHAnsi"/>
          <w:color w:val="000000"/>
          <w:sz w:val="22"/>
          <w:szCs w:val="22"/>
        </w:rPr>
        <w:t> </w:t>
      </w:r>
      <w:hyperlink r:id="rId17"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1</w:t>
        </w:r>
      </w:hyperlink>
      <w:r w:rsidRPr="00E42D0B">
        <w:rPr>
          <w:rFonts w:asciiTheme="minorHAnsi" w:hAnsiTheme="minorHAnsi" w:cstheme="minorHAnsi"/>
          <w:color w:val="000000"/>
          <w:sz w:val="22"/>
          <w:szCs w:val="22"/>
          <w:lang w:val="ru-RU"/>
        </w:rPr>
        <w:t>, а также в иных федеральных стандартах оценки, регулирующих оценку отдельных видов объектов оценки, утвержденных Минэкономразвития России, информацию:</w:t>
      </w:r>
    </w:p>
    <w:p w14:paraId="2A750C9E" w14:textId="77777777" w:rsidR="00E42D0B" w:rsidRPr="00E42D0B" w:rsidRDefault="00E42D0B" w:rsidP="00E42D0B">
      <w:pPr>
        <w:numPr>
          <w:ilvl w:val="0"/>
          <w:numId w:val="32"/>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особенности проведения осмотра объекта оценки либо основания, объективно препятствующие проведению осмотра объекта, если таковые существуют;</w:t>
      </w:r>
    </w:p>
    <w:p w14:paraId="6771D3CD" w14:textId="77777777" w:rsidR="00E42D0B" w:rsidRPr="00E42D0B" w:rsidRDefault="00E42D0B" w:rsidP="00E42D0B">
      <w:pPr>
        <w:numPr>
          <w:ilvl w:val="0"/>
          <w:numId w:val="32"/>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порядок и сроки предоставления заказчиком необходимых для проведения оценки материалов и информации;</w:t>
      </w:r>
    </w:p>
    <w:p w14:paraId="14D7477A" w14:textId="77777777" w:rsidR="00E42D0B" w:rsidRPr="00E42D0B" w:rsidRDefault="00E42D0B" w:rsidP="00E42D0B">
      <w:pPr>
        <w:numPr>
          <w:ilvl w:val="0"/>
          <w:numId w:val="32"/>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p w14:paraId="21DDCB4B"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11. В задании на оценку заказчиком либо залогодержателем (если он является стороной по договору) по согласованию с оценщиком могут быть указаны иные дополнительные к указанным в пункте 8 настоящего Федерального стандарта оценки результатам оценки расчетные величины, в том числе:</w:t>
      </w:r>
    </w:p>
    <w:p w14:paraId="54CCCA05" w14:textId="77777777" w:rsidR="00E42D0B" w:rsidRPr="00E42D0B" w:rsidRDefault="00E42D0B" w:rsidP="00E42D0B">
      <w:pPr>
        <w:numPr>
          <w:ilvl w:val="0"/>
          <w:numId w:val="33"/>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прогноз изменения стоимости объекта оценки в будущем;</w:t>
      </w:r>
    </w:p>
    <w:p w14:paraId="4F6F107C" w14:textId="77777777" w:rsidR="00E42D0B" w:rsidRPr="00E42D0B" w:rsidRDefault="00E42D0B" w:rsidP="00E42D0B">
      <w:pPr>
        <w:numPr>
          <w:ilvl w:val="0"/>
          <w:numId w:val="33"/>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размер затрат, необходимых при обращении взыскания на объект оценки.</w:t>
      </w:r>
    </w:p>
    <w:p w14:paraId="72D849BF" w14:textId="77777777" w:rsidR="00E42D0B" w:rsidRPr="00E42D0B" w:rsidRDefault="00E42D0B" w:rsidP="00E42D0B">
      <w:pPr>
        <w:numPr>
          <w:ilvl w:val="0"/>
          <w:numId w:val="33"/>
        </w:numPr>
        <w:shd w:val="clear" w:color="auto" w:fill="FFFFFF"/>
        <w:spacing w:before="100" w:beforeAutospacing="1" w:after="100" w:afterAutospacing="1" w:line="260" w:lineRule="atLeast"/>
        <w:jc w:val="both"/>
        <w:rPr>
          <w:rFonts w:cstheme="minorHAnsi"/>
          <w:color w:val="000000"/>
          <w:lang w:val="ru-RU"/>
        </w:rPr>
      </w:pPr>
      <w:r w:rsidRPr="00E42D0B">
        <w:rPr>
          <w:rFonts w:cstheme="minorHAnsi"/>
          <w:color w:val="000000"/>
          <w:lang w:val="ru-RU"/>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p w14:paraId="6E922962" w14:textId="77777777" w:rsidR="00E42D0B" w:rsidRPr="00E42D0B" w:rsidRDefault="00E42D0B" w:rsidP="00E42D0B">
      <w:pPr>
        <w:pStyle w:val="aa"/>
        <w:shd w:val="clear" w:color="auto" w:fill="FFFFFF"/>
        <w:spacing w:line="280" w:lineRule="atLeast"/>
        <w:jc w:val="center"/>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rPr>
        <w:t>IV</w:t>
      </w:r>
      <w:r w:rsidRPr="00E42D0B">
        <w:rPr>
          <w:rFonts w:asciiTheme="minorHAnsi" w:hAnsiTheme="minorHAnsi" w:cstheme="minorHAnsi"/>
          <w:color w:val="000000"/>
          <w:sz w:val="22"/>
          <w:szCs w:val="22"/>
          <w:lang w:val="ru-RU"/>
        </w:rPr>
        <w:t>. Допущения при оценке для целей залога</w:t>
      </w:r>
    </w:p>
    <w:p w14:paraId="784A7E53"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12. Допущения, используемые при проведении оценки, должны быть согласованы всеми сторонами договора.</w:t>
      </w:r>
    </w:p>
    <w:p w14:paraId="5CDD1B61"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13. Допущения, применяемые в оценке в отношении перспектив развития объекта оценки, должны быть обоснованы рыночными данными и тенденциями. 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p w14:paraId="2970415D"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14. 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p w14:paraId="5288608E"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 xml:space="preserve">15. 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sidRPr="00E42D0B">
        <w:rPr>
          <w:rFonts w:asciiTheme="minorHAnsi" w:hAnsiTheme="minorHAnsi" w:cstheme="minorHAnsi"/>
          <w:color w:val="000000"/>
          <w:sz w:val="22"/>
          <w:szCs w:val="22"/>
          <w:lang w:val="ru-RU"/>
        </w:rPr>
        <w:t>сохранятся бесспорно</w:t>
      </w:r>
      <w:proofErr w:type="gramEnd"/>
      <w:r w:rsidRPr="00E42D0B">
        <w:rPr>
          <w:rFonts w:asciiTheme="minorHAnsi" w:hAnsiTheme="minorHAnsi" w:cstheme="minorHAnsi"/>
          <w:color w:val="000000"/>
          <w:sz w:val="22"/>
          <w:szCs w:val="22"/>
          <w:lang w:val="ru-RU"/>
        </w:rPr>
        <w:t xml:space="preserve"> при переходе права собственности на объект оценки иному лицу.</w:t>
      </w:r>
    </w:p>
    <w:p w14:paraId="54ED0445"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lastRenderedPageBreak/>
        <w:t>16. 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в задании на оценку. В случае выявления обременений до момента подписания договора оценщик обязан проинформировать об этом стороны заключаемого договора, которые указываются в задании на оценку. В случае выявления обременений в процессе оценки оценщик обязан указать факт наличия обременений в отчете и учесть их в расчетах, в случае если иное не указано в задании на оценку.</w:t>
      </w:r>
    </w:p>
    <w:p w14:paraId="23C9BF5B"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17. 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p w14:paraId="0DBEDC4E"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18. 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Оценщик обязан проинформировать заказчика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в задании на оценку.</w:t>
      </w:r>
    </w:p>
    <w:p w14:paraId="6E16526F" w14:textId="77777777" w:rsidR="00E42D0B" w:rsidRPr="00E42D0B" w:rsidRDefault="00E42D0B" w:rsidP="00E42D0B">
      <w:pPr>
        <w:pStyle w:val="aa"/>
        <w:shd w:val="clear" w:color="auto" w:fill="FFFFFF"/>
        <w:spacing w:line="280" w:lineRule="atLeast"/>
        <w:jc w:val="center"/>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rPr>
        <w:t>V</w:t>
      </w:r>
      <w:r w:rsidRPr="00E42D0B">
        <w:rPr>
          <w:rFonts w:asciiTheme="minorHAnsi" w:hAnsiTheme="minorHAnsi" w:cstheme="minorHAnsi"/>
          <w:color w:val="000000"/>
          <w:sz w:val="22"/>
          <w:szCs w:val="22"/>
          <w:lang w:val="ru-RU"/>
        </w:rPr>
        <w:t>. Специальные требования при оценке для целей залога</w:t>
      </w:r>
    </w:p>
    <w:p w14:paraId="69654BB5"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19. При определении ликвидационной стоимости в качестве фактора вынужденной 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p w14:paraId="6E16416F"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20. 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в соответствии с условиями договора дополнительно определяться рыночная стоимость с учетом допущения о завершенности объекта на дату оценки.</w:t>
      </w:r>
    </w:p>
    <w:p w14:paraId="66D921A1" w14:textId="77777777" w:rsidR="00E42D0B" w:rsidRPr="00E42D0B" w:rsidRDefault="00E42D0B" w:rsidP="00E42D0B">
      <w:pPr>
        <w:pStyle w:val="aa"/>
        <w:shd w:val="clear" w:color="auto" w:fill="FFFFFF"/>
        <w:spacing w:line="280" w:lineRule="atLeast"/>
        <w:jc w:val="center"/>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rPr>
        <w:t>VI</w:t>
      </w:r>
      <w:r w:rsidRPr="00E42D0B">
        <w:rPr>
          <w:rFonts w:asciiTheme="minorHAnsi" w:hAnsiTheme="minorHAnsi" w:cstheme="minorHAnsi"/>
          <w:color w:val="000000"/>
          <w:sz w:val="22"/>
          <w:szCs w:val="22"/>
          <w:lang w:val="ru-RU"/>
        </w:rPr>
        <w:t>. Заключительные положения</w:t>
      </w:r>
    </w:p>
    <w:p w14:paraId="32EC0351" w14:textId="77777777" w:rsidR="00E42D0B" w:rsidRPr="00E42D0B" w:rsidRDefault="00E42D0B" w:rsidP="00E42D0B">
      <w:pPr>
        <w:pStyle w:val="aa"/>
        <w:shd w:val="clear" w:color="auto" w:fill="FFFFFF"/>
        <w:spacing w:line="280" w:lineRule="atLeast"/>
        <w:jc w:val="both"/>
        <w:rPr>
          <w:rFonts w:asciiTheme="minorHAnsi" w:hAnsiTheme="minorHAnsi" w:cstheme="minorHAnsi"/>
          <w:color w:val="000000"/>
          <w:sz w:val="22"/>
          <w:szCs w:val="22"/>
          <w:lang w:val="ru-RU"/>
        </w:rPr>
      </w:pPr>
      <w:r w:rsidRPr="00E42D0B">
        <w:rPr>
          <w:rFonts w:asciiTheme="minorHAnsi" w:hAnsiTheme="minorHAnsi" w:cstheme="minorHAnsi"/>
          <w:color w:val="000000"/>
          <w:sz w:val="22"/>
          <w:szCs w:val="22"/>
          <w:lang w:val="ru-RU"/>
        </w:rPr>
        <w:t xml:space="preserve">21. В случае расхождений между требованиями настоящего Федерального стандарта оценки с требованиями ФСО </w:t>
      </w:r>
      <w:r w:rsidRPr="00E42D0B">
        <w:rPr>
          <w:rFonts w:asciiTheme="minorHAnsi" w:hAnsiTheme="minorHAnsi" w:cstheme="minorHAnsi"/>
          <w:color w:val="000000"/>
          <w:sz w:val="22"/>
          <w:szCs w:val="22"/>
        </w:rPr>
        <w:t>N</w:t>
      </w:r>
      <w:r w:rsidRPr="00E42D0B">
        <w:rPr>
          <w:rFonts w:asciiTheme="minorHAnsi" w:hAnsiTheme="minorHAnsi" w:cstheme="minorHAnsi"/>
          <w:color w:val="000000"/>
          <w:sz w:val="22"/>
          <w:szCs w:val="22"/>
          <w:lang w:val="ru-RU"/>
        </w:rPr>
        <w:t xml:space="preserve"> 1,</w:t>
      </w:r>
      <w:r w:rsidRPr="00E42D0B">
        <w:rPr>
          <w:rFonts w:asciiTheme="minorHAnsi" w:hAnsiTheme="minorHAnsi" w:cstheme="minorHAnsi"/>
          <w:color w:val="000000"/>
          <w:sz w:val="22"/>
          <w:szCs w:val="22"/>
        </w:rPr>
        <w:t> </w:t>
      </w:r>
      <w:hyperlink r:id="rId18"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2</w:t>
        </w:r>
      </w:hyperlink>
      <w:r w:rsidRPr="00E42D0B">
        <w:rPr>
          <w:rFonts w:asciiTheme="minorHAnsi" w:hAnsiTheme="minorHAnsi" w:cstheme="minorHAnsi"/>
          <w:color w:val="000000"/>
          <w:sz w:val="22"/>
          <w:szCs w:val="22"/>
          <w:lang w:val="ru-RU"/>
        </w:rPr>
        <w:t>,</w:t>
      </w:r>
      <w:r w:rsidRPr="00E42D0B">
        <w:rPr>
          <w:rFonts w:asciiTheme="minorHAnsi" w:hAnsiTheme="minorHAnsi" w:cstheme="minorHAnsi"/>
          <w:color w:val="000000"/>
          <w:sz w:val="22"/>
          <w:szCs w:val="22"/>
        </w:rPr>
        <w:t> </w:t>
      </w:r>
      <w:hyperlink r:id="rId19" w:history="1">
        <w:r w:rsidRPr="00E42D0B">
          <w:rPr>
            <w:rStyle w:val="a9"/>
            <w:rFonts w:asciiTheme="minorHAnsi" w:hAnsiTheme="minorHAnsi" w:cstheme="minorHAnsi"/>
            <w:sz w:val="22"/>
            <w:szCs w:val="22"/>
            <w:lang w:val="ru-RU"/>
          </w:rPr>
          <w:t xml:space="preserve">ФСО </w:t>
        </w:r>
        <w:r w:rsidRPr="00E42D0B">
          <w:rPr>
            <w:rStyle w:val="a9"/>
            <w:rFonts w:asciiTheme="minorHAnsi" w:hAnsiTheme="minorHAnsi" w:cstheme="minorHAnsi"/>
            <w:sz w:val="22"/>
            <w:szCs w:val="22"/>
          </w:rPr>
          <w:t>N</w:t>
        </w:r>
        <w:r w:rsidRPr="00E42D0B">
          <w:rPr>
            <w:rStyle w:val="a9"/>
            <w:rFonts w:asciiTheme="minorHAnsi" w:hAnsiTheme="minorHAnsi" w:cstheme="minorHAnsi"/>
            <w:sz w:val="22"/>
            <w:szCs w:val="22"/>
            <w:lang w:val="ru-RU"/>
          </w:rPr>
          <w:t xml:space="preserve"> 3</w:t>
        </w:r>
      </w:hyperlink>
      <w:r w:rsidRPr="00E42D0B">
        <w:rPr>
          <w:rFonts w:asciiTheme="minorHAnsi" w:hAnsiTheme="minorHAnsi" w:cstheme="minorHAnsi"/>
          <w:color w:val="000000"/>
          <w:sz w:val="22"/>
          <w:szCs w:val="22"/>
        </w:rPr>
        <w:t> </w:t>
      </w:r>
      <w:r w:rsidRPr="00E42D0B">
        <w:rPr>
          <w:rFonts w:asciiTheme="minorHAnsi" w:hAnsiTheme="minorHAnsi" w:cstheme="minorHAnsi"/>
          <w:color w:val="000000"/>
          <w:sz w:val="22"/>
          <w:szCs w:val="22"/>
          <w:lang w:val="ru-RU"/>
        </w:rPr>
        <w:t>и других федеральных стандартов оценки, регулирующих оценку отдельных видов объектов оценки, утвержденных Минэкономразвития России, приоритет имеет настоящий Федеральный стандарт.</w:t>
      </w:r>
    </w:p>
    <w:p w14:paraId="77B7B735" w14:textId="45BD60A8" w:rsidR="00C56952" w:rsidRPr="00E42D0B"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p>
    <w:p w14:paraId="76DB272F" w14:textId="796BA4E5" w:rsidR="0010090C" w:rsidRPr="00E42D0B" w:rsidRDefault="0010090C" w:rsidP="00DC6AF8">
      <w:pPr>
        <w:rPr>
          <w:rFonts w:cstheme="minorHAnsi"/>
          <w:lang w:val="ru-RU"/>
        </w:rPr>
      </w:pPr>
    </w:p>
    <w:sectPr w:rsidR="0010090C" w:rsidRPr="00E42D0B"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7C4FA" w14:textId="77777777" w:rsidR="00530458" w:rsidRDefault="00530458" w:rsidP="0010090C">
      <w:pPr>
        <w:spacing w:after="0" w:line="240" w:lineRule="auto"/>
      </w:pPr>
      <w:r>
        <w:separator/>
      </w:r>
    </w:p>
  </w:endnote>
  <w:endnote w:type="continuationSeparator" w:id="0">
    <w:p w14:paraId="5B75EDD1" w14:textId="77777777" w:rsidR="00530458" w:rsidRDefault="00530458"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F37E" w14:textId="77777777" w:rsidR="00530458" w:rsidRDefault="00530458" w:rsidP="0010090C">
      <w:pPr>
        <w:spacing w:after="0" w:line="240" w:lineRule="auto"/>
      </w:pPr>
      <w:r>
        <w:separator/>
      </w:r>
    </w:p>
  </w:footnote>
  <w:footnote w:type="continuationSeparator" w:id="0">
    <w:p w14:paraId="78355A34" w14:textId="77777777" w:rsidR="00530458" w:rsidRDefault="00530458"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9A1"/>
    <w:multiLevelType w:val="multilevel"/>
    <w:tmpl w:val="9AA8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B4EE7"/>
    <w:multiLevelType w:val="multilevel"/>
    <w:tmpl w:val="717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275A1"/>
    <w:multiLevelType w:val="multilevel"/>
    <w:tmpl w:val="F3C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5265"/>
    <w:multiLevelType w:val="multilevel"/>
    <w:tmpl w:val="4C3A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706EF"/>
    <w:multiLevelType w:val="multilevel"/>
    <w:tmpl w:val="3BD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5190D"/>
    <w:multiLevelType w:val="multilevel"/>
    <w:tmpl w:val="886E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848AE"/>
    <w:multiLevelType w:val="multilevel"/>
    <w:tmpl w:val="1B62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D1080"/>
    <w:multiLevelType w:val="multilevel"/>
    <w:tmpl w:val="810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32597"/>
    <w:multiLevelType w:val="multilevel"/>
    <w:tmpl w:val="9C4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472DF"/>
    <w:multiLevelType w:val="multilevel"/>
    <w:tmpl w:val="421C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6203B"/>
    <w:multiLevelType w:val="multilevel"/>
    <w:tmpl w:val="397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F5D7F"/>
    <w:multiLevelType w:val="multilevel"/>
    <w:tmpl w:val="2C2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755CF"/>
    <w:multiLevelType w:val="multilevel"/>
    <w:tmpl w:val="5A6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808C1"/>
    <w:multiLevelType w:val="multilevel"/>
    <w:tmpl w:val="E792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2633B"/>
    <w:multiLevelType w:val="multilevel"/>
    <w:tmpl w:val="1FF4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6023A"/>
    <w:multiLevelType w:val="multilevel"/>
    <w:tmpl w:val="3CAC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71FB0"/>
    <w:multiLevelType w:val="multilevel"/>
    <w:tmpl w:val="98A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10B8F"/>
    <w:multiLevelType w:val="multilevel"/>
    <w:tmpl w:val="555C4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D67E86"/>
    <w:multiLevelType w:val="multilevel"/>
    <w:tmpl w:val="5D5A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45D73"/>
    <w:multiLevelType w:val="multilevel"/>
    <w:tmpl w:val="7BF6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74EE1"/>
    <w:multiLevelType w:val="multilevel"/>
    <w:tmpl w:val="906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CA1ABC"/>
    <w:multiLevelType w:val="multilevel"/>
    <w:tmpl w:val="946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F4EF4"/>
    <w:multiLevelType w:val="multilevel"/>
    <w:tmpl w:val="362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85945"/>
    <w:multiLevelType w:val="multilevel"/>
    <w:tmpl w:val="EB4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32542"/>
    <w:multiLevelType w:val="multilevel"/>
    <w:tmpl w:val="2FE6D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751E83"/>
    <w:multiLevelType w:val="multilevel"/>
    <w:tmpl w:val="9066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C13A2B"/>
    <w:multiLevelType w:val="multilevel"/>
    <w:tmpl w:val="99E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C7F27"/>
    <w:multiLevelType w:val="multilevel"/>
    <w:tmpl w:val="B182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4278D"/>
    <w:multiLevelType w:val="multilevel"/>
    <w:tmpl w:val="F4D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66AD0"/>
    <w:multiLevelType w:val="multilevel"/>
    <w:tmpl w:val="04BC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4675F"/>
    <w:multiLevelType w:val="multilevel"/>
    <w:tmpl w:val="EDB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56EB3"/>
    <w:multiLevelType w:val="multilevel"/>
    <w:tmpl w:val="408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E75A36"/>
    <w:multiLevelType w:val="multilevel"/>
    <w:tmpl w:val="4316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6"/>
  </w:num>
  <w:num w:numId="4">
    <w:abstractNumId w:val="9"/>
  </w:num>
  <w:num w:numId="5">
    <w:abstractNumId w:val="4"/>
  </w:num>
  <w:num w:numId="6">
    <w:abstractNumId w:val="19"/>
  </w:num>
  <w:num w:numId="7">
    <w:abstractNumId w:val="18"/>
  </w:num>
  <w:num w:numId="8">
    <w:abstractNumId w:val="25"/>
  </w:num>
  <w:num w:numId="9">
    <w:abstractNumId w:val="27"/>
  </w:num>
  <w:num w:numId="10">
    <w:abstractNumId w:val="14"/>
  </w:num>
  <w:num w:numId="11">
    <w:abstractNumId w:val="11"/>
  </w:num>
  <w:num w:numId="12">
    <w:abstractNumId w:val="13"/>
  </w:num>
  <w:num w:numId="13">
    <w:abstractNumId w:val="24"/>
  </w:num>
  <w:num w:numId="14">
    <w:abstractNumId w:val="28"/>
  </w:num>
  <w:num w:numId="15">
    <w:abstractNumId w:val="12"/>
  </w:num>
  <w:num w:numId="16">
    <w:abstractNumId w:val="1"/>
  </w:num>
  <w:num w:numId="17">
    <w:abstractNumId w:val="32"/>
  </w:num>
  <w:num w:numId="18">
    <w:abstractNumId w:val="5"/>
  </w:num>
  <w:num w:numId="19">
    <w:abstractNumId w:val="3"/>
  </w:num>
  <w:num w:numId="20">
    <w:abstractNumId w:val="26"/>
  </w:num>
  <w:num w:numId="21">
    <w:abstractNumId w:val="0"/>
  </w:num>
  <w:num w:numId="22">
    <w:abstractNumId w:val="17"/>
  </w:num>
  <w:num w:numId="23">
    <w:abstractNumId w:val="21"/>
  </w:num>
  <w:num w:numId="24">
    <w:abstractNumId w:val="23"/>
  </w:num>
  <w:num w:numId="25">
    <w:abstractNumId w:val="22"/>
  </w:num>
  <w:num w:numId="26">
    <w:abstractNumId w:val="10"/>
  </w:num>
  <w:num w:numId="27">
    <w:abstractNumId w:val="16"/>
  </w:num>
  <w:num w:numId="28">
    <w:abstractNumId w:val="15"/>
  </w:num>
  <w:num w:numId="29">
    <w:abstractNumId w:val="8"/>
  </w:num>
  <w:num w:numId="30">
    <w:abstractNumId w:val="7"/>
  </w:num>
  <w:num w:numId="31">
    <w:abstractNumId w:val="2"/>
  </w:num>
  <w:num w:numId="32">
    <w:abstractNumId w:val="31"/>
  </w:num>
  <w:num w:numId="3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127FF6"/>
    <w:rsid w:val="001D10F6"/>
    <w:rsid w:val="002635EF"/>
    <w:rsid w:val="00472F75"/>
    <w:rsid w:val="00486702"/>
    <w:rsid w:val="004937DC"/>
    <w:rsid w:val="004971AC"/>
    <w:rsid w:val="00524460"/>
    <w:rsid w:val="00530458"/>
    <w:rsid w:val="00634211"/>
    <w:rsid w:val="00644BBA"/>
    <w:rsid w:val="006472B2"/>
    <w:rsid w:val="006C371D"/>
    <w:rsid w:val="00746AA0"/>
    <w:rsid w:val="007F5D4D"/>
    <w:rsid w:val="00882C07"/>
    <w:rsid w:val="0096257C"/>
    <w:rsid w:val="00997769"/>
    <w:rsid w:val="009A60CB"/>
    <w:rsid w:val="00A77B63"/>
    <w:rsid w:val="00A84816"/>
    <w:rsid w:val="00B24B21"/>
    <w:rsid w:val="00C56952"/>
    <w:rsid w:val="00D60235"/>
    <w:rsid w:val="00DC6AF8"/>
    <w:rsid w:val="00DE7D9F"/>
    <w:rsid w:val="00E42D0B"/>
    <w:rsid w:val="00F51E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5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44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848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644BB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BBA"/>
    <w:rPr>
      <w:rFonts w:ascii="Times New Roman" w:eastAsia="Times New Roman" w:hAnsi="Times New Roman" w:cs="Times New Roman"/>
      <w:b/>
      <w:bCs/>
      <w:sz w:val="27"/>
      <w:szCs w:val="27"/>
    </w:rPr>
  </w:style>
  <w:style w:type="character" w:styleId="a9">
    <w:name w:val="Hyperlink"/>
    <w:basedOn w:val="a0"/>
    <w:uiPriority w:val="99"/>
    <w:semiHidden/>
    <w:unhideWhenUsed/>
    <w:rsid w:val="00644BBA"/>
    <w:rPr>
      <w:color w:val="0000FF"/>
      <w:u w:val="single"/>
    </w:rPr>
  </w:style>
  <w:style w:type="paragraph" w:styleId="aa">
    <w:name w:val="Normal (Web)"/>
    <w:basedOn w:val="a"/>
    <w:uiPriority w:val="99"/>
    <w:semiHidden/>
    <w:unhideWhenUsed/>
    <w:rsid w:val="00644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4816"/>
    <w:rPr>
      <w:rFonts w:asciiTheme="majorHAnsi" w:eastAsiaTheme="majorEastAsia" w:hAnsiTheme="majorHAnsi" w:cstheme="majorBidi"/>
      <w:i/>
      <w:iCs/>
      <w:color w:val="2F5496" w:themeColor="accent1" w:themeShade="BF"/>
    </w:rPr>
  </w:style>
  <w:style w:type="character" w:styleId="ab">
    <w:name w:val="Strong"/>
    <w:basedOn w:val="a0"/>
    <w:uiPriority w:val="22"/>
    <w:qFormat/>
    <w:rsid w:val="00746AA0"/>
    <w:rPr>
      <w:b/>
      <w:bCs/>
    </w:rPr>
  </w:style>
  <w:style w:type="character" w:customStyle="1" w:styleId="20">
    <w:name w:val="Заголовок 2 Знак"/>
    <w:basedOn w:val="a0"/>
    <w:link w:val="2"/>
    <w:uiPriority w:val="9"/>
    <w:semiHidden/>
    <w:rsid w:val="00C569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8850">
      <w:bodyDiv w:val="1"/>
      <w:marLeft w:val="0"/>
      <w:marRight w:val="0"/>
      <w:marTop w:val="0"/>
      <w:marBottom w:val="0"/>
      <w:divBdr>
        <w:top w:val="none" w:sz="0" w:space="0" w:color="auto"/>
        <w:left w:val="none" w:sz="0" w:space="0" w:color="auto"/>
        <w:bottom w:val="none" w:sz="0" w:space="0" w:color="auto"/>
        <w:right w:val="none" w:sz="0" w:space="0" w:color="auto"/>
      </w:divBdr>
    </w:div>
    <w:div w:id="264458763">
      <w:bodyDiv w:val="1"/>
      <w:marLeft w:val="0"/>
      <w:marRight w:val="0"/>
      <w:marTop w:val="0"/>
      <w:marBottom w:val="0"/>
      <w:divBdr>
        <w:top w:val="none" w:sz="0" w:space="0" w:color="auto"/>
        <w:left w:val="none" w:sz="0" w:space="0" w:color="auto"/>
        <w:bottom w:val="none" w:sz="0" w:space="0" w:color="auto"/>
        <w:right w:val="none" w:sz="0" w:space="0" w:color="auto"/>
      </w:divBdr>
    </w:div>
    <w:div w:id="543565695">
      <w:bodyDiv w:val="1"/>
      <w:marLeft w:val="0"/>
      <w:marRight w:val="0"/>
      <w:marTop w:val="0"/>
      <w:marBottom w:val="0"/>
      <w:divBdr>
        <w:top w:val="none" w:sz="0" w:space="0" w:color="auto"/>
        <w:left w:val="none" w:sz="0" w:space="0" w:color="auto"/>
        <w:bottom w:val="none" w:sz="0" w:space="0" w:color="auto"/>
        <w:right w:val="none" w:sz="0" w:space="0" w:color="auto"/>
      </w:divBdr>
    </w:div>
    <w:div w:id="668947640">
      <w:bodyDiv w:val="1"/>
      <w:marLeft w:val="0"/>
      <w:marRight w:val="0"/>
      <w:marTop w:val="0"/>
      <w:marBottom w:val="0"/>
      <w:divBdr>
        <w:top w:val="none" w:sz="0" w:space="0" w:color="auto"/>
        <w:left w:val="none" w:sz="0" w:space="0" w:color="auto"/>
        <w:bottom w:val="none" w:sz="0" w:space="0" w:color="auto"/>
        <w:right w:val="none" w:sz="0" w:space="0" w:color="auto"/>
      </w:divBdr>
    </w:div>
    <w:div w:id="861821461">
      <w:bodyDiv w:val="1"/>
      <w:marLeft w:val="0"/>
      <w:marRight w:val="0"/>
      <w:marTop w:val="0"/>
      <w:marBottom w:val="0"/>
      <w:divBdr>
        <w:top w:val="none" w:sz="0" w:space="0" w:color="auto"/>
        <w:left w:val="none" w:sz="0" w:space="0" w:color="auto"/>
        <w:bottom w:val="none" w:sz="0" w:space="0" w:color="auto"/>
        <w:right w:val="none" w:sz="0" w:space="0" w:color="auto"/>
      </w:divBdr>
    </w:div>
    <w:div w:id="938562041">
      <w:bodyDiv w:val="1"/>
      <w:marLeft w:val="0"/>
      <w:marRight w:val="0"/>
      <w:marTop w:val="0"/>
      <w:marBottom w:val="0"/>
      <w:divBdr>
        <w:top w:val="none" w:sz="0" w:space="0" w:color="auto"/>
        <w:left w:val="none" w:sz="0" w:space="0" w:color="auto"/>
        <w:bottom w:val="none" w:sz="0" w:space="0" w:color="auto"/>
        <w:right w:val="none" w:sz="0" w:space="0" w:color="auto"/>
      </w:divBdr>
    </w:div>
    <w:div w:id="1274943943">
      <w:bodyDiv w:val="1"/>
      <w:marLeft w:val="0"/>
      <w:marRight w:val="0"/>
      <w:marTop w:val="0"/>
      <w:marBottom w:val="0"/>
      <w:divBdr>
        <w:top w:val="none" w:sz="0" w:space="0" w:color="auto"/>
        <w:left w:val="none" w:sz="0" w:space="0" w:color="auto"/>
        <w:bottom w:val="none" w:sz="0" w:space="0" w:color="auto"/>
        <w:right w:val="none" w:sz="0" w:space="0" w:color="auto"/>
      </w:divBdr>
    </w:div>
    <w:div w:id="1343236837">
      <w:bodyDiv w:val="1"/>
      <w:marLeft w:val="0"/>
      <w:marRight w:val="0"/>
      <w:marTop w:val="0"/>
      <w:marBottom w:val="0"/>
      <w:divBdr>
        <w:top w:val="none" w:sz="0" w:space="0" w:color="auto"/>
        <w:left w:val="none" w:sz="0" w:space="0" w:color="auto"/>
        <w:bottom w:val="none" w:sz="0" w:space="0" w:color="auto"/>
        <w:right w:val="none" w:sz="0" w:space="0" w:color="auto"/>
      </w:divBdr>
    </w:div>
    <w:div w:id="1425685674">
      <w:bodyDiv w:val="1"/>
      <w:marLeft w:val="0"/>
      <w:marRight w:val="0"/>
      <w:marTop w:val="0"/>
      <w:marBottom w:val="0"/>
      <w:divBdr>
        <w:top w:val="none" w:sz="0" w:space="0" w:color="auto"/>
        <w:left w:val="none" w:sz="0" w:space="0" w:color="auto"/>
        <w:bottom w:val="none" w:sz="0" w:space="0" w:color="auto"/>
        <w:right w:val="none" w:sz="0" w:space="0" w:color="auto"/>
      </w:divBdr>
    </w:div>
    <w:div w:id="1722248022">
      <w:bodyDiv w:val="1"/>
      <w:marLeft w:val="0"/>
      <w:marRight w:val="0"/>
      <w:marTop w:val="0"/>
      <w:marBottom w:val="0"/>
      <w:divBdr>
        <w:top w:val="none" w:sz="0" w:space="0" w:color="auto"/>
        <w:left w:val="none" w:sz="0" w:space="0" w:color="auto"/>
        <w:bottom w:val="none" w:sz="0" w:space="0" w:color="auto"/>
        <w:right w:val="none" w:sz="0" w:space="0" w:color="auto"/>
      </w:divBdr>
    </w:div>
    <w:div w:id="1737825584">
      <w:bodyDiv w:val="1"/>
      <w:marLeft w:val="0"/>
      <w:marRight w:val="0"/>
      <w:marTop w:val="0"/>
      <w:marBottom w:val="0"/>
      <w:divBdr>
        <w:top w:val="none" w:sz="0" w:space="0" w:color="auto"/>
        <w:left w:val="none" w:sz="0" w:space="0" w:color="auto"/>
        <w:bottom w:val="none" w:sz="0" w:space="0" w:color="auto"/>
        <w:right w:val="none" w:sz="0" w:space="0" w:color="auto"/>
      </w:divBdr>
    </w:div>
    <w:div w:id="20297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365.html" TargetMode="External"/><Relationship Id="rId13" Type="http://schemas.openxmlformats.org/officeDocument/2006/relationships/hyperlink" Target="https://www.ocenchik.ru/docsf/2231-trebovaniya-otchetu-ocenke-fso3.html" TargetMode="External"/><Relationship Id="rId18" Type="http://schemas.openxmlformats.org/officeDocument/2006/relationships/hyperlink" Target="https://www.ocenchik.ru/docsf/2230-cel-ocenki-vidy-stoimosti-fso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ocenchik.ru/docsf/2230-cel-ocenki-vidy-stoimosti-fso2.html" TargetMode="External"/><Relationship Id="rId17" Type="http://schemas.openxmlformats.org/officeDocument/2006/relationships/hyperlink" Target="https://www.ocenchik.ru/docsf/2229-ponyatiya-ocenki-podhody-ocenki-fso1.html" TargetMode="External"/><Relationship Id="rId2" Type="http://schemas.openxmlformats.org/officeDocument/2006/relationships/styles" Target="styles.xml"/><Relationship Id="rId16" Type="http://schemas.openxmlformats.org/officeDocument/2006/relationships/hyperlink" Target="https://www.ocenchik.ru/docsf/2231-trebovaniya-otchetu-ocenke-fso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f/2229-ponyatiya-ocenki-podhody-ocenki-fso1.html" TargetMode="External"/><Relationship Id="rId5" Type="http://schemas.openxmlformats.org/officeDocument/2006/relationships/footnotes" Target="footnotes.xml"/><Relationship Id="rId15" Type="http://schemas.openxmlformats.org/officeDocument/2006/relationships/hyperlink" Target="https://www.ocenchik.ru/docsf/2230-cel-ocenki-vidy-stoimosti-fso2.html" TargetMode="External"/><Relationship Id="rId10" Type="http://schemas.openxmlformats.org/officeDocument/2006/relationships/hyperlink" Target="https://www.ocenchik.ru/docsf/2230-cel-ocenki-vidy-stoimosti-fso2.html" TargetMode="External"/><Relationship Id="rId19" Type="http://schemas.openxmlformats.org/officeDocument/2006/relationships/hyperlink" Target="https://www.ocenchik.ru/docsf/2231-trebovaniya-otchetu-ocenke-fso3.html" TargetMode="External"/><Relationship Id="rId4" Type="http://schemas.openxmlformats.org/officeDocument/2006/relationships/webSettings" Target="webSettings.xml"/><Relationship Id="rId9" Type="http://schemas.openxmlformats.org/officeDocument/2006/relationships/hyperlink" Target="https://www.ocenchik.ru/news/2160.html" TargetMode="External"/><Relationship Id="rId14" Type="http://schemas.openxmlformats.org/officeDocument/2006/relationships/hyperlink" Target="https://www.ocenchik.ru/docsf/2229-ponyatiya-ocenki-podhody-ocenki-fso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21</cp:revision>
  <dcterms:created xsi:type="dcterms:W3CDTF">2024-01-10T04:31:00Z</dcterms:created>
  <dcterms:modified xsi:type="dcterms:W3CDTF">2024-01-10T05:37:00Z</dcterms:modified>
</cp:coreProperties>
</file>