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F8" w:rsidRPr="003350D8" w14:paraId="3F0FF5EA" w14:textId="77777777" w:rsidTr="00E2074E">
        <w:tc>
          <w:tcPr>
            <w:tcW w:w="4672" w:type="dxa"/>
          </w:tcPr>
          <w:p w14:paraId="6BD0F8DF" w14:textId="77777777" w:rsidR="00DC6AF8" w:rsidRPr="003350D8" w:rsidRDefault="00DC6AF8" w:rsidP="00E2074E">
            <w:pPr>
              <w:rPr>
                <w:rFonts w:cstheme="minorHAnsi"/>
                <w:b/>
              </w:rPr>
            </w:pPr>
            <w:r w:rsidRPr="003350D8">
              <w:rPr>
                <w:rFonts w:cstheme="minorHAnsi"/>
                <w:noProof/>
              </w:rPr>
              <w:drawing>
                <wp:inline distT="0" distB="0" distL="0" distR="0" wp14:anchorId="6259FAB8" wp14:editId="30F44BCC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E876DA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3350D8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3350D8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3350D8">
              <w:rPr>
                <w:rFonts w:eastAsia="Times New Roman" w:cstheme="minorHAnsi"/>
                <w:b/>
              </w:rPr>
              <w:t>»</w:t>
            </w:r>
          </w:p>
          <w:p w14:paraId="53245C24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3350D8">
              <w:rPr>
                <w:rFonts w:eastAsia="Times New Roman" w:cstheme="minorHAnsi"/>
              </w:rPr>
              <w:t>ИНН 5906174968</w:t>
            </w:r>
          </w:p>
          <w:p w14:paraId="34EFADD7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3350D8">
              <w:rPr>
                <w:rFonts w:eastAsia="Times New Roman" w:cstheme="minorHAnsi"/>
              </w:rPr>
              <w:t>КПП 590601001</w:t>
            </w:r>
          </w:p>
          <w:p w14:paraId="69ECE5FF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3350D8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4040601F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3350D8">
              <w:rPr>
                <w:rFonts w:eastAsia="Times New Roman" w:cstheme="minorHAnsi"/>
              </w:rPr>
              <w:t>Тел. +7 (992) 221‒91‒28</w:t>
            </w:r>
          </w:p>
          <w:p w14:paraId="00B4621A" w14:textId="77777777" w:rsidR="00DC6AF8" w:rsidRPr="003350D8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3350D8">
              <w:rPr>
                <w:rFonts w:eastAsia="Times New Roman" w:cstheme="minorHAnsi"/>
              </w:rPr>
              <w:t>Email</w:t>
            </w:r>
            <w:proofErr w:type="spellEnd"/>
            <w:r w:rsidRPr="003350D8">
              <w:rPr>
                <w:rFonts w:eastAsia="Times New Roman" w:cstheme="minorHAnsi"/>
              </w:rPr>
              <w:t xml:space="preserve">: infopricecom@yandex.ru </w:t>
            </w:r>
          </w:p>
          <w:p w14:paraId="232434F2" w14:textId="77777777" w:rsidR="00DC6AF8" w:rsidRPr="003350D8" w:rsidRDefault="00DC6AF8" w:rsidP="00E2074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2BF248E" w14:textId="77777777" w:rsidR="003350D8" w:rsidRPr="003350D8" w:rsidRDefault="003350D8" w:rsidP="003350D8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</w:rPr>
      </w:pPr>
      <w:r w:rsidRPr="003350D8">
        <w:rPr>
          <w:rFonts w:asciiTheme="minorHAnsi" w:hAnsiTheme="minorHAnsi" w:cstheme="minorHAnsi"/>
          <w:color w:val="014783"/>
          <w:sz w:val="22"/>
          <w:szCs w:val="22"/>
        </w:rPr>
        <w:t>П Р И К А З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350D8" w:rsidRPr="003350D8" w14:paraId="08082815" w14:textId="77777777" w:rsidTr="003350D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9EA4FB9" w14:textId="77777777" w:rsidR="003350D8" w:rsidRPr="003350D8" w:rsidRDefault="003350D8">
            <w:pPr>
              <w:rPr>
                <w:rFonts w:cstheme="minorHAnsi"/>
                <w:color w:val="000000"/>
              </w:rPr>
            </w:pPr>
            <w:r w:rsidRPr="003350D8">
              <w:rPr>
                <w:rFonts w:cstheme="minorHAnsi"/>
                <w:b/>
                <w:bCs/>
                <w:color w:val="000000"/>
              </w:rPr>
              <w:t xml:space="preserve">01 </w:t>
            </w:r>
            <w:proofErr w:type="spellStart"/>
            <w:r w:rsidRPr="003350D8">
              <w:rPr>
                <w:rFonts w:cstheme="minorHAnsi"/>
                <w:b/>
                <w:bCs/>
                <w:color w:val="000000"/>
              </w:rPr>
              <w:t>июня</w:t>
            </w:r>
            <w:proofErr w:type="spellEnd"/>
            <w:r w:rsidRPr="003350D8">
              <w:rPr>
                <w:rFonts w:cstheme="minorHAnsi"/>
                <w:b/>
                <w:bCs/>
                <w:color w:val="000000"/>
              </w:rPr>
              <w:t xml:space="preserve"> 2015 </w:t>
            </w:r>
            <w:proofErr w:type="spellStart"/>
            <w:r w:rsidRPr="003350D8">
              <w:rPr>
                <w:rFonts w:cstheme="minorHAnsi"/>
                <w:b/>
                <w:bCs/>
                <w:color w:val="000000"/>
              </w:rPr>
              <w:t>года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0D015AE1" w14:textId="77777777" w:rsidR="003350D8" w:rsidRPr="003350D8" w:rsidRDefault="003350D8">
            <w:pPr>
              <w:jc w:val="right"/>
              <w:rPr>
                <w:rFonts w:cstheme="minorHAnsi"/>
                <w:color w:val="000000"/>
              </w:rPr>
            </w:pPr>
            <w:r w:rsidRPr="003350D8">
              <w:rPr>
                <w:rFonts w:cstheme="minorHAnsi"/>
                <w:b/>
                <w:bCs/>
                <w:color w:val="000000"/>
              </w:rPr>
              <w:t>N 328</w:t>
            </w:r>
          </w:p>
        </w:tc>
      </w:tr>
    </w:tbl>
    <w:p w14:paraId="3BF665E7" w14:textId="77777777" w:rsidR="003350D8" w:rsidRPr="003350D8" w:rsidRDefault="003350D8" w:rsidP="003350D8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Об утверждении федерального стандарта оценки "Оценка стоимости машин и оборудования (ФСО </w:t>
      </w:r>
      <w:r w:rsidRPr="003350D8">
        <w:rPr>
          <w:rFonts w:asciiTheme="minorHAnsi" w:hAnsiTheme="minorHAnsi" w:cstheme="minorHAnsi"/>
          <w:color w:val="014783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 10)"</w:t>
      </w:r>
    </w:p>
    <w:p w14:paraId="76B0123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В соответствии со статьей 20 Федерального закона от 29 июля 1998 г.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135-ФЗ "Об оценочной деятельности в Российской Федерации" (Собрание законодательства Российской Федерации, 1998,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31, ст. 3813; 2006,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31, ст. 3456; 2010,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30, ст. 3998; 2011,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1, ст. 43;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29, ст. 4291; 2014,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30, ст. 4226) приказываю:</w:t>
      </w:r>
    </w:p>
    <w:p w14:paraId="5BB7331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1. Утвердить прилагаемый Федеральный стандарт оценки "Оценка стоимости машин и оборудования (ФСО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10)".</w:t>
      </w:r>
    </w:p>
    <w:p w14:paraId="1E2F462F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2. Настоящий приказ вступает в силу со дня вступления в силу приказов Минэкономразвития России от 20 мая 2015 г.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297 "Об утверждении Федерального стандарта оценки "Общие понятия оценки, подходы и требования к проведению оценки (ФСО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1)", от 20 мая 2015 г.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298 "Об утверждении Федерального стандарта оценки "Цель оценки и виды стоимости (ФСО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2)", от 20 мая 2015 г.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299 "Об утверждении Федерального стандарта оценки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"Требования к отчету об оценке (ФСО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3)"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</w:t>
      </w:r>
    </w:p>
    <w:p w14:paraId="16A42A3B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Министр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br/>
        <w:t>А.В.УЛЮКАЕВ</w:t>
      </w:r>
    </w:p>
    <w:p w14:paraId="32F4D2E8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Утвержден приказом Минэкономразвития России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br/>
        <w:t xml:space="preserve">от 1 июня 2015 г.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328</w:t>
      </w:r>
    </w:p>
    <w:p w14:paraId="754BCDF8" w14:textId="77777777" w:rsidR="003350D8" w:rsidRPr="003350D8" w:rsidRDefault="003350D8" w:rsidP="003350D8">
      <w:pPr>
        <w:pStyle w:val="2"/>
        <w:shd w:val="clear" w:color="auto" w:fill="FFFFFF"/>
        <w:spacing w:before="0" w:after="18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14783"/>
          <w:sz w:val="22"/>
          <w:szCs w:val="22"/>
          <w:lang w:val="ru-RU"/>
        </w:rPr>
        <w:t>ФЕДЕРАЛЬНЫЙ СТАНДАРТ</w:t>
      </w:r>
      <w:r w:rsidRPr="003350D8">
        <w:rPr>
          <w:rFonts w:asciiTheme="minorHAnsi" w:hAnsiTheme="minorHAnsi" w:cstheme="minorHAnsi"/>
          <w:color w:val="014783"/>
          <w:sz w:val="22"/>
          <w:szCs w:val="22"/>
          <w:lang w:val="ru-RU"/>
        </w:rPr>
        <w:br/>
        <w:t xml:space="preserve">ОЦЕНКИ "ОЦЕНКА СТОИМОСТИ МАШИН И ОБОРУДОВАНИЯ (ФСО </w:t>
      </w:r>
      <w:r w:rsidRPr="003350D8">
        <w:rPr>
          <w:rFonts w:asciiTheme="minorHAnsi" w:hAnsiTheme="minorHAnsi" w:cstheme="minorHAnsi"/>
          <w:color w:val="014783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 10)"</w:t>
      </w:r>
    </w:p>
    <w:p w14:paraId="78298C11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Общие положения</w:t>
      </w:r>
    </w:p>
    <w:p w14:paraId="6CEF5472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1. Настоящий Федеральный стандарт оценки разработан с учетом международных стандартов оценки и федеральных стандартов оценки "Общие понятия оценки, подходы и требования к проведению оценки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9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(ФСО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1)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",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0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"Цель оценки и виды стоимости (ФСО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2)"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, "Требования к отчету об оценке (ФСО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3)" (далее соответственно -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1,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2,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3), иных федеральных стандартов оценки, регулирующих оценку отдельных видов объектов оценки, утвержденных Минэкономразвития России, определяет требования к проведению оценки стоимости машин и оборудования.</w:t>
      </w:r>
    </w:p>
    <w:p w14:paraId="3487856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2. Если объектом оценки в задании на оценку не являются непосредственно машины и оборудование, но машины и оборудование являются частью объекта оценки, то действие настоящего Федерального стандарта оценки распространяется на процедуру оценки таких машин и оборудования только тогда, когда в задании на оценку предусматривается использование настоящего Федерального стандарта оценки с указанием перечня машин и оборудования, на который распространяются данные требования.</w:t>
      </w:r>
    </w:p>
    <w:p w14:paraId="4E14F710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3. Положения настоящего Федерального стандарта оценки не распространяются на оценку нематериальных активов, связанных с созданием и эксплуатацией машин и оборудования; машин и оборудования, имеющих художественную и (или) историческую ценность, а также работ и услуг по устранению повреждений, возникших в результате аварийных ситуаций (например, ущербов от аварий транспортных средств).</w:t>
      </w:r>
    </w:p>
    <w:p w14:paraId="1557015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4. Если эксплуатация машин и оборудования невозможна без использования нематериальных активов (программных средств, специализированных баз данных, лицензий, технической документации и так далее), то в зависимости от задания на оценку стоимость нематериальных активов следует учитывать отдельно или в составе стоимости машин и оборудования.</w:t>
      </w:r>
    </w:p>
    <w:p w14:paraId="45DA7ED4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II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Объекты оценки</w:t>
      </w:r>
    </w:p>
    <w:p w14:paraId="6A40754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5. Для целей настоящего Федерального стандарта оценки к объектам оценки относятся отдельные машины и единицы оборудования, являющиеся изделиями машиностроительного производства или аналогичными им, группы (множества, совокупности) машин и оборудования, части машин и оборудования вместе или по отдельности (далее - машины и оборудование).</w:t>
      </w:r>
    </w:p>
    <w:p w14:paraId="45DF7AE8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Для целей настоящего Федерального стандарта оценки объектами оценки могут выступать подлежащие государственной регистрации воздушные и морские суда, суда внутреннего плавания, космические объекты.</w:t>
      </w:r>
    </w:p>
    <w:p w14:paraId="297B01E1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III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Задание на оценку</w:t>
      </w:r>
    </w:p>
    <w:p w14:paraId="6F03E848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6. Задание на оценку объекта оценки должно содержать следующую дополнительную к указанной в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1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1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информацию об объекте оценки:</w:t>
      </w:r>
    </w:p>
    <w:p w14:paraId="03F3004E" w14:textId="77777777" w:rsidR="003350D8" w:rsidRPr="003350D8" w:rsidRDefault="003350D8" w:rsidP="003350D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состав оцениваемой группы машин и оборудования с указанием сведений по каждой машине и единице оборудования, достаточных для их идентификации;</w:t>
      </w:r>
    </w:p>
    <w:p w14:paraId="1C5F646A" w14:textId="77777777" w:rsidR="003350D8" w:rsidRPr="003350D8" w:rsidRDefault="003350D8" w:rsidP="003350D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информацию по учету нематериальных активов, необходимых для эксплуатации машин и оборудования (при наличии таких активов).</w:t>
      </w:r>
    </w:p>
    <w:p w14:paraId="129BF334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7. Задание на оценку объекта оценки может содержать следующую дополнительную к указанной в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 информацию в части допущений, на которых должна основываться оценка:</w:t>
      </w:r>
    </w:p>
    <w:p w14:paraId="03CDCA51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допущение, связанное с ограничением объема работ по осмотру оцениваемых машин и единиц оборудования;</w:t>
      </w:r>
    </w:p>
    <w:p w14:paraId="08D7304A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допущение, связанное с ограничением объема работ по анализу рынка;</w:t>
      </w:r>
    </w:p>
    <w:p w14:paraId="42643676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допущение об оценке машин и оборудования как единого целого при условии продолжения их использования в составе действующего имущественного комплекса;</w:t>
      </w:r>
    </w:p>
    <w:p w14:paraId="198A33D2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допущение об оценке машин и оборудования как единого целого при условии прекращения их использования в составе действующего имущественного комплекса;</w:t>
      </w:r>
    </w:p>
    <w:p w14:paraId="65F2C8CB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допущение об оценке машин и оборудования при условии перемещения с их текущего местоположения как отдельных объектов;</w:t>
      </w:r>
    </w:p>
    <w:p w14:paraId="2E0DF4DB" w14:textId="77777777" w:rsidR="003350D8" w:rsidRPr="003350D8" w:rsidRDefault="003350D8" w:rsidP="003350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в случае наличия интегрированное машин и оборудования с другими объектами, в частности, недвижимости, - допущение об оценке машин и оборудования в составе таких объектов или отдельно от них.</w:t>
      </w:r>
    </w:p>
    <w:p w14:paraId="6877389E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8. Задание на оценку устанавливает степень детализации работ по осмотру (полный, частичный с указанием критериев, без проведения осмотра) и период проведения осмотра. В случае непроведения осмотра оценщик указывает в отчете об оценке причины, по которым объект оценки не осмотрен, а также допущения, связанные с непроведением осмотра.</w:t>
      </w:r>
    </w:p>
    <w:p w14:paraId="40C3F50B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9. 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обременений, если в задании на оценку не указано иное.</w:t>
      </w:r>
    </w:p>
    <w:p w14:paraId="389C733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IV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Анализ рынка</w:t>
      </w:r>
    </w:p>
    <w:p w14:paraId="64FC3AF3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10. Для оценки стоимости машин и оборудования оценщик исследует рынок в тех его сегментах, в которых может быть реализована наиболее значимая по стоимости часть оцениваемых машин и единиц оборудования. Исследуются сегменты как первичного, так и вторичного рынка, если для объекта оценки эти виды рынка существуют.</w:t>
      </w:r>
    </w:p>
    <w:p w14:paraId="3B6E6ACC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Подходы к оценке</w:t>
      </w:r>
    </w:p>
    <w:p w14:paraId="1603EAE1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11. Для объекта оценки, представляющего собой множество машин и оборудования, могут быть использованы методы как индивидуальной, так и массовой оценки. Для целей настоящего Федерального стандарта оценки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моделей. В качестве итогового результата рассматривается стоимость объекта оценки как единого целого.</w:t>
      </w:r>
    </w:p>
    <w:p w14:paraId="2F567A41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12. При оценке машин и оборудования с применением затратного и сравнительного подходов допускается использование ценовой информации о событиях, произошедших с объектами-аналогами после даты оценки, например, путем обратной ценовой индексации. При этом оценщик должен проанализировать динамику цен от даты оценки до даты наступления соответствующего события и внести соответствующие корректировки. Использование такой ценовой информации допустимо, если оценщиком проведен и раскрыт в отчете анализ полученных расчетных значений на соответствие рыночным показателям, сложившимся на дату оценки, а также оговорены допущения, связанные с применением указанной информации.</w:t>
      </w:r>
    </w:p>
    <w:p w14:paraId="239CD227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13. При наличии развитого и активного рынка объектов-аналогов, позволяющего получить необходимый для оценки объем данных о ценах и характеристиках объектов-аналогов, может быть сделан вывод о достаточности применения только сравнительного подхода. Недостаток рыночной информации, необходимой для сравнительного подхода, является основанием для отказа от его использования.</w:t>
      </w:r>
    </w:p>
    <w:p w14:paraId="5236E108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14. При применении затратного подхода к оценке машин и оборудования оценщик учитывает следующие положения:</w:t>
      </w:r>
    </w:p>
    <w:p w14:paraId="1E63D8F5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а) при оценке специализированных машин и оборудования целесообразно применять затратный подход. Специализированные машины и оборудование - 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бизнеса;</w:t>
      </w:r>
    </w:p>
    <w:p w14:paraId="7786FBCD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б) затраты на воспроизводство машин и оборудования (без учета износа и </w:t>
      </w:r>
      <w:proofErr w:type="spellStart"/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устареваний</w:t>
      </w:r>
      <w:proofErr w:type="spellEnd"/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) определяются на основе сравнения с затратами на создание или производство либо приобретение точной копии объекта оценки. Затраты на замещение машин и оборудования (без учета износа и </w:t>
      </w:r>
      <w:proofErr w:type="spellStart"/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устареваний</w:t>
      </w:r>
      <w:proofErr w:type="spellEnd"/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) определяются на основе сравнения с затратами на создание или производство либо приобретение объекта, имеющего аналогичные полезные свойства;</w:t>
      </w:r>
    </w:p>
    <w:p w14:paraId="1076EEA6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в) точной копией объекта оценки для целей оценки машин и оборудования признается объект, у которого совпадают с объектом оценки, как минимум, следующие признаки: наименование, обозначение модели (модификации), основные технические характеристики;</w:t>
      </w:r>
    </w:p>
    <w:p w14:paraId="3DADFD7E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г) объектом, имеющим аналогичные полезные свойства, для целей оценки машин и оборудования признается объект, у которого имеется сходство с объектом оценки по функциональному назначению, принципу действия, конструктивной схеме;</w:t>
      </w:r>
    </w:p>
    <w:p w14:paraId="56E2A489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д) при применении затратного подхода рассчитывается накопленный совокупный износ оцениваемой машины или единицы оборудования, интегрирующий физический износ, функциональное и экономическое устаревания, при этом учитываются особенности обесценения при разных условиях эксплуатации, а также с учетом принятых допущений, на которых основывается оценка, максимально ориентируясь на рыночные данные.</w:t>
      </w:r>
    </w:p>
    <w:p w14:paraId="4FCF0CD6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15. При применении доходного подхода к оценке машин и оборудования оценщик учитывает следующие положения:</w:t>
      </w:r>
    </w:p>
    <w:p w14:paraId="552C4B40" w14:textId="77777777" w:rsidR="003350D8" w:rsidRPr="003350D8" w:rsidRDefault="003350D8" w:rsidP="003350D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3350D8">
        <w:rPr>
          <w:rFonts w:cstheme="minorHAnsi"/>
          <w:color w:val="000000"/>
          <w:lang w:val="ru-RU"/>
        </w:rPr>
        <w:t>доходный подход при оценке машин и оборудования может использоваться там, где распределенные во времени выгоды от его использования могут быть оценены в денежном выражении либо непосредственно, либо как соответствующая часть выгод, генерируемых более непосредственно, либо как соответствующая часть выгод, генерируемых более широким комплексом объектов, включающим оцениваемый объект и производящим продукт (товар, работу или услугу).</w:t>
      </w:r>
    </w:p>
    <w:p w14:paraId="1F4FCA77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VI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Согласование результатов оценки</w:t>
      </w:r>
    </w:p>
    <w:p w14:paraId="53170681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16. Согласование результатов оценки машин и оборудования, полученных с использованием различных методов и подходов к оценке, и отражение его результатов в отчете об оценке осуществляются в соответствии с требованиями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1.</w:t>
      </w:r>
    </w:p>
    <w:p w14:paraId="35616372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</w:rPr>
        <w:t>VI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. Заключительные положения</w:t>
      </w:r>
    </w:p>
    <w:p w14:paraId="7430EB6C" w14:textId="77777777" w:rsidR="003350D8" w:rsidRPr="003350D8" w:rsidRDefault="003350D8" w:rsidP="003350D8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17. В случае расхождений между требованиями настоящего Федерального стандарта оценки с требованиями ФСО 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1,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2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2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,</w:t>
      </w:r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3" w:history="1"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ФСО 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</w:rPr>
          <w:t>N</w:t>
        </w:r>
        <w:r w:rsidRPr="003350D8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 xml:space="preserve"> 3</w:t>
        </w:r>
      </w:hyperlink>
      <w:r w:rsidRPr="003350D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350D8">
        <w:rPr>
          <w:rFonts w:asciiTheme="minorHAnsi" w:hAnsiTheme="minorHAnsi" w:cstheme="minorHAnsi"/>
          <w:color w:val="000000"/>
          <w:sz w:val="22"/>
          <w:szCs w:val="22"/>
          <w:lang w:val="ru-RU"/>
        </w:rPr>
        <w:t>и других федеральных стандартов оценки, регулирующих оценку отдельных видов объектов оценки, утвержденных Минэкономразвития России, приоритет имеет настоящий Федеральный стандарт.</w:t>
      </w:r>
    </w:p>
    <w:p w14:paraId="76DB272F" w14:textId="796BA4E5" w:rsidR="0010090C" w:rsidRPr="003350D8" w:rsidRDefault="0010090C" w:rsidP="00DC6AF8">
      <w:pPr>
        <w:rPr>
          <w:rFonts w:cstheme="minorHAnsi"/>
          <w:lang w:val="ru-RU"/>
        </w:rPr>
      </w:pPr>
      <w:bookmarkStart w:id="0" w:name="_GoBack"/>
      <w:bookmarkEnd w:id="0"/>
    </w:p>
    <w:sectPr w:rsidR="0010090C" w:rsidRPr="003350D8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0070" w14:textId="77777777" w:rsidR="005A3C36" w:rsidRDefault="005A3C36" w:rsidP="0010090C">
      <w:pPr>
        <w:spacing w:after="0" w:line="240" w:lineRule="auto"/>
      </w:pPr>
      <w:r>
        <w:separator/>
      </w:r>
    </w:p>
  </w:endnote>
  <w:endnote w:type="continuationSeparator" w:id="0">
    <w:p w14:paraId="23A97F08" w14:textId="77777777" w:rsidR="005A3C36" w:rsidRDefault="005A3C36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2EF6" w14:textId="77777777" w:rsidR="005A3C36" w:rsidRDefault="005A3C36" w:rsidP="0010090C">
      <w:pPr>
        <w:spacing w:after="0" w:line="240" w:lineRule="auto"/>
      </w:pPr>
      <w:r>
        <w:separator/>
      </w:r>
    </w:p>
  </w:footnote>
  <w:footnote w:type="continuationSeparator" w:id="0">
    <w:p w14:paraId="0BDB07E6" w14:textId="77777777" w:rsidR="005A3C36" w:rsidRDefault="005A3C36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9A1"/>
    <w:multiLevelType w:val="multilevel"/>
    <w:tmpl w:val="9AA8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4EE7"/>
    <w:multiLevelType w:val="multilevel"/>
    <w:tmpl w:val="7178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275A1"/>
    <w:multiLevelType w:val="multilevel"/>
    <w:tmpl w:val="F3C4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D5265"/>
    <w:multiLevelType w:val="multilevel"/>
    <w:tmpl w:val="4C3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706EF"/>
    <w:multiLevelType w:val="multilevel"/>
    <w:tmpl w:val="3BD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5190D"/>
    <w:multiLevelType w:val="multilevel"/>
    <w:tmpl w:val="886E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848AE"/>
    <w:multiLevelType w:val="multilevel"/>
    <w:tmpl w:val="1B6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D1080"/>
    <w:multiLevelType w:val="multilevel"/>
    <w:tmpl w:val="8102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32597"/>
    <w:multiLevelType w:val="multilevel"/>
    <w:tmpl w:val="9C4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472DF"/>
    <w:multiLevelType w:val="multilevel"/>
    <w:tmpl w:val="421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6203B"/>
    <w:multiLevelType w:val="multilevel"/>
    <w:tmpl w:val="397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F5D7F"/>
    <w:multiLevelType w:val="multilevel"/>
    <w:tmpl w:val="2C20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C05F1"/>
    <w:multiLevelType w:val="multilevel"/>
    <w:tmpl w:val="366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755CF"/>
    <w:multiLevelType w:val="multilevel"/>
    <w:tmpl w:val="5A68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808C1"/>
    <w:multiLevelType w:val="multilevel"/>
    <w:tmpl w:val="E792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2633B"/>
    <w:multiLevelType w:val="multilevel"/>
    <w:tmpl w:val="1FF4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6023A"/>
    <w:multiLevelType w:val="multilevel"/>
    <w:tmpl w:val="3CA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71FB0"/>
    <w:multiLevelType w:val="multilevel"/>
    <w:tmpl w:val="98AA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10B8F"/>
    <w:multiLevelType w:val="multilevel"/>
    <w:tmpl w:val="555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D60F0"/>
    <w:multiLevelType w:val="multilevel"/>
    <w:tmpl w:val="457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C5718"/>
    <w:multiLevelType w:val="multilevel"/>
    <w:tmpl w:val="D71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67E86"/>
    <w:multiLevelType w:val="multilevel"/>
    <w:tmpl w:val="5D5A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D73"/>
    <w:multiLevelType w:val="multilevel"/>
    <w:tmpl w:val="7BF6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74EE1"/>
    <w:multiLevelType w:val="multilevel"/>
    <w:tmpl w:val="906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A1ABC"/>
    <w:multiLevelType w:val="multilevel"/>
    <w:tmpl w:val="946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F4EF4"/>
    <w:multiLevelType w:val="multilevel"/>
    <w:tmpl w:val="362E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85945"/>
    <w:multiLevelType w:val="multilevel"/>
    <w:tmpl w:val="EB4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732542"/>
    <w:multiLevelType w:val="multilevel"/>
    <w:tmpl w:val="2FE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751E83"/>
    <w:multiLevelType w:val="multilevel"/>
    <w:tmpl w:val="9066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13A2B"/>
    <w:multiLevelType w:val="multilevel"/>
    <w:tmpl w:val="99E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C7F27"/>
    <w:multiLevelType w:val="multilevel"/>
    <w:tmpl w:val="B18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04278D"/>
    <w:multiLevelType w:val="multilevel"/>
    <w:tmpl w:val="F4DC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66AD0"/>
    <w:multiLevelType w:val="multilevel"/>
    <w:tmpl w:val="04B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4675F"/>
    <w:multiLevelType w:val="multilevel"/>
    <w:tmpl w:val="EDB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A56EB3"/>
    <w:multiLevelType w:val="multilevel"/>
    <w:tmpl w:val="408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75A36"/>
    <w:multiLevelType w:val="multilevel"/>
    <w:tmpl w:val="431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9"/>
  </w:num>
  <w:num w:numId="5">
    <w:abstractNumId w:val="4"/>
  </w:num>
  <w:num w:numId="6">
    <w:abstractNumId w:val="22"/>
  </w:num>
  <w:num w:numId="7">
    <w:abstractNumId w:val="21"/>
  </w:num>
  <w:num w:numId="8">
    <w:abstractNumId w:val="28"/>
  </w:num>
  <w:num w:numId="9">
    <w:abstractNumId w:val="30"/>
  </w:num>
  <w:num w:numId="10">
    <w:abstractNumId w:val="15"/>
  </w:num>
  <w:num w:numId="11">
    <w:abstractNumId w:val="11"/>
  </w:num>
  <w:num w:numId="12">
    <w:abstractNumId w:val="14"/>
  </w:num>
  <w:num w:numId="13">
    <w:abstractNumId w:val="27"/>
  </w:num>
  <w:num w:numId="14">
    <w:abstractNumId w:val="31"/>
  </w:num>
  <w:num w:numId="15">
    <w:abstractNumId w:val="13"/>
  </w:num>
  <w:num w:numId="16">
    <w:abstractNumId w:val="1"/>
  </w:num>
  <w:num w:numId="17">
    <w:abstractNumId w:val="35"/>
  </w:num>
  <w:num w:numId="18">
    <w:abstractNumId w:val="5"/>
  </w:num>
  <w:num w:numId="19">
    <w:abstractNumId w:val="3"/>
  </w:num>
  <w:num w:numId="20">
    <w:abstractNumId w:val="29"/>
  </w:num>
  <w:num w:numId="21">
    <w:abstractNumId w:val="0"/>
  </w:num>
  <w:num w:numId="22">
    <w:abstractNumId w:val="18"/>
  </w:num>
  <w:num w:numId="23">
    <w:abstractNumId w:val="24"/>
  </w:num>
  <w:num w:numId="24">
    <w:abstractNumId w:val="26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8"/>
  </w:num>
  <w:num w:numId="30">
    <w:abstractNumId w:val="7"/>
  </w:num>
  <w:num w:numId="31">
    <w:abstractNumId w:val="2"/>
  </w:num>
  <w:num w:numId="32">
    <w:abstractNumId w:val="34"/>
  </w:num>
  <w:num w:numId="33">
    <w:abstractNumId w:val="32"/>
  </w:num>
  <w:num w:numId="34">
    <w:abstractNumId w:val="19"/>
  </w:num>
  <w:num w:numId="35">
    <w:abstractNumId w:val="12"/>
  </w:num>
  <w:num w:numId="3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127FF6"/>
    <w:rsid w:val="001D10F6"/>
    <w:rsid w:val="002635EF"/>
    <w:rsid w:val="003350D8"/>
    <w:rsid w:val="00472F75"/>
    <w:rsid w:val="00486702"/>
    <w:rsid w:val="004937DC"/>
    <w:rsid w:val="004971AC"/>
    <w:rsid w:val="00524460"/>
    <w:rsid w:val="00530458"/>
    <w:rsid w:val="005A3C36"/>
    <w:rsid w:val="00634211"/>
    <w:rsid w:val="00644BBA"/>
    <w:rsid w:val="006472B2"/>
    <w:rsid w:val="006C371D"/>
    <w:rsid w:val="00746AA0"/>
    <w:rsid w:val="007F5D4D"/>
    <w:rsid w:val="00882C07"/>
    <w:rsid w:val="0096257C"/>
    <w:rsid w:val="00997769"/>
    <w:rsid w:val="009A60CB"/>
    <w:rsid w:val="00A77B63"/>
    <w:rsid w:val="00A84816"/>
    <w:rsid w:val="00B24B21"/>
    <w:rsid w:val="00C56952"/>
    <w:rsid w:val="00D60235"/>
    <w:rsid w:val="00DC6AF8"/>
    <w:rsid w:val="00DE7D9F"/>
    <w:rsid w:val="00E42D0B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48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Strong"/>
    <w:basedOn w:val="a0"/>
    <w:uiPriority w:val="22"/>
    <w:qFormat/>
    <w:rsid w:val="00746AA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6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f/2231-trebovaniya-otchetu-ocenke-fso3.html" TargetMode="External"/><Relationship Id="rId13" Type="http://schemas.openxmlformats.org/officeDocument/2006/relationships/hyperlink" Target="https://www.ocenchik.ru/docsf/2231-trebovaniya-otchetu-ocenke-fso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f/2230-cel-ocenki-vidy-stoimosti-fso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f/2229-ponyatiya-ocenki-podhody-ocenki-fso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cenchik.ru/docsf/2230-cel-ocenki-vidy-stoimosti-fso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f/2229-ponyatiya-ocenki-podhody-ocenki-fso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22</cp:revision>
  <dcterms:created xsi:type="dcterms:W3CDTF">2024-01-10T04:31:00Z</dcterms:created>
  <dcterms:modified xsi:type="dcterms:W3CDTF">2024-01-10T05:38:00Z</dcterms:modified>
</cp:coreProperties>
</file>